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70" w:type="dxa"/>
        <w:tblLook w:val="04A0" w:firstRow="1" w:lastRow="0" w:firstColumn="1" w:lastColumn="0" w:noHBand="0" w:noVBand="1"/>
      </w:tblPr>
      <w:tblGrid>
        <w:gridCol w:w="1320"/>
        <w:gridCol w:w="2829"/>
        <w:gridCol w:w="2902"/>
        <w:gridCol w:w="2373"/>
        <w:gridCol w:w="2373"/>
        <w:gridCol w:w="2373"/>
      </w:tblGrid>
      <w:tr w:rsidR="00701175" w:rsidRPr="006D2415" w14:paraId="7240FEE4" w14:textId="77777777" w:rsidTr="009F7C35">
        <w:tc>
          <w:tcPr>
            <w:tcW w:w="1320" w:type="dxa"/>
          </w:tcPr>
          <w:p w14:paraId="2693B177" w14:textId="45DC085C" w:rsidR="00701175" w:rsidRPr="006D2415" w:rsidRDefault="00701175">
            <w:pPr>
              <w:rPr>
                <w:b/>
                <w:bCs/>
              </w:rPr>
            </w:pPr>
            <w:r w:rsidRPr="006D2415">
              <w:rPr>
                <w:b/>
                <w:bCs/>
              </w:rPr>
              <w:t>RSA Ref:</w:t>
            </w:r>
          </w:p>
        </w:tc>
        <w:tc>
          <w:tcPr>
            <w:tcW w:w="2829" w:type="dxa"/>
          </w:tcPr>
          <w:p w14:paraId="0B0BDC74" w14:textId="2544C715" w:rsidR="00701175" w:rsidRPr="006D2415" w:rsidRDefault="00701175">
            <w:pPr>
              <w:rPr>
                <w:b/>
                <w:bCs/>
              </w:rPr>
            </w:pPr>
            <w:r w:rsidRPr="006D2415">
              <w:rPr>
                <w:b/>
                <w:bCs/>
              </w:rPr>
              <w:t>RSA Problem</w:t>
            </w:r>
          </w:p>
        </w:tc>
        <w:tc>
          <w:tcPr>
            <w:tcW w:w="2902" w:type="dxa"/>
          </w:tcPr>
          <w:p w14:paraId="611506C9" w14:textId="01D2A401" w:rsidR="00701175" w:rsidRPr="006D2415" w:rsidRDefault="00701175">
            <w:pPr>
              <w:rPr>
                <w:b/>
                <w:bCs/>
              </w:rPr>
            </w:pPr>
            <w:r w:rsidRPr="006D2415">
              <w:rPr>
                <w:b/>
                <w:bCs/>
              </w:rPr>
              <w:t>Recommendation</w:t>
            </w:r>
          </w:p>
        </w:tc>
        <w:tc>
          <w:tcPr>
            <w:tcW w:w="2373" w:type="dxa"/>
          </w:tcPr>
          <w:p w14:paraId="7EB23325" w14:textId="469F1B0A" w:rsidR="00701175" w:rsidRPr="006D2415" w:rsidRDefault="00701175">
            <w:pPr>
              <w:rPr>
                <w:b/>
                <w:bCs/>
              </w:rPr>
            </w:pPr>
            <w:r w:rsidRPr="006D2415">
              <w:rPr>
                <w:b/>
                <w:bCs/>
              </w:rPr>
              <w:t>Design Org. response</w:t>
            </w:r>
          </w:p>
        </w:tc>
        <w:tc>
          <w:tcPr>
            <w:tcW w:w="2373" w:type="dxa"/>
          </w:tcPr>
          <w:p w14:paraId="15610263" w14:textId="44A920C2" w:rsidR="00701175" w:rsidRPr="006D2415" w:rsidRDefault="00701175">
            <w:pPr>
              <w:rPr>
                <w:b/>
                <w:bCs/>
              </w:rPr>
            </w:pPr>
            <w:r w:rsidRPr="006D2415">
              <w:rPr>
                <w:b/>
                <w:bCs/>
              </w:rPr>
              <w:t>Overseeing Org. response</w:t>
            </w:r>
          </w:p>
        </w:tc>
        <w:tc>
          <w:tcPr>
            <w:tcW w:w="2373" w:type="dxa"/>
          </w:tcPr>
          <w:p w14:paraId="45A551D4" w14:textId="7C2AAE2F" w:rsidR="00701175" w:rsidRPr="006D2415" w:rsidRDefault="00701175">
            <w:pPr>
              <w:rPr>
                <w:b/>
                <w:bCs/>
              </w:rPr>
            </w:pPr>
            <w:r w:rsidRPr="006D2415">
              <w:rPr>
                <w:b/>
                <w:bCs/>
              </w:rPr>
              <w:t>Agreed RSA Action</w:t>
            </w:r>
          </w:p>
        </w:tc>
      </w:tr>
      <w:tr w:rsidR="00701175" w14:paraId="5B42E252" w14:textId="77777777" w:rsidTr="009F7C35">
        <w:tc>
          <w:tcPr>
            <w:tcW w:w="1320" w:type="dxa"/>
          </w:tcPr>
          <w:p w14:paraId="427F589B" w14:textId="72C95806" w:rsidR="00701175" w:rsidRDefault="00701175" w:rsidP="00701175">
            <w:r w:rsidRPr="00DB2701">
              <w:rPr>
                <w:rFonts w:ascii="Segoe UI" w:eastAsia="Times New Roman" w:hAnsi="Segoe UI" w:cs="Segoe UI"/>
                <w:color w:val="000000"/>
                <w:kern w:val="0"/>
                <w:sz w:val="20"/>
                <w:szCs w:val="20"/>
                <w:lang w:eastAsia="en-GB"/>
                <w14:ligatures w14:val="none"/>
              </w:rPr>
              <w:t xml:space="preserve">Problem </w:t>
            </w:r>
            <w:r w:rsidR="00570C54">
              <w:rPr>
                <w:rFonts w:ascii="Segoe UI" w:eastAsia="Times New Roman" w:hAnsi="Segoe UI" w:cs="Segoe UI"/>
                <w:color w:val="000000"/>
                <w:kern w:val="0"/>
                <w:sz w:val="20"/>
                <w:szCs w:val="20"/>
                <w:lang w:eastAsia="en-GB"/>
                <w14:ligatures w14:val="none"/>
              </w:rPr>
              <w:t>7</w:t>
            </w:r>
            <w:r w:rsidRPr="00DB2701">
              <w:rPr>
                <w:rFonts w:ascii="Segoe UI" w:eastAsia="Times New Roman" w:hAnsi="Segoe UI" w:cs="Segoe UI"/>
                <w:color w:val="000000"/>
                <w:kern w:val="0"/>
                <w:sz w:val="20"/>
                <w:szCs w:val="20"/>
                <w:lang w:eastAsia="en-GB"/>
                <w14:ligatures w14:val="none"/>
              </w:rPr>
              <w:t>.1</w:t>
            </w:r>
          </w:p>
        </w:tc>
        <w:tc>
          <w:tcPr>
            <w:tcW w:w="2829" w:type="dxa"/>
          </w:tcPr>
          <w:p w14:paraId="1AD83B7A" w14:textId="77777777" w:rsidR="009F7C35" w:rsidRPr="009F7C35" w:rsidRDefault="009F7C35" w:rsidP="009F7C35">
            <w:r w:rsidRPr="009F7C35">
              <w:t>The drawings submitted for audit do not include details of any measures to prevent vehicles</w:t>
            </w:r>
          </w:p>
          <w:p w14:paraId="746E811F" w14:textId="77777777" w:rsidR="009F7C35" w:rsidRPr="009F7C35" w:rsidRDefault="009F7C35" w:rsidP="009F7C35">
            <w:r w:rsidRPr="009F7C35">
              <w:t>from colliding with the sculpture and / or its plinth should they leave the carriageway. In the</w:t>
            </w:r>
          </w:p>
          <w:p w14:paraId="4E5C7F3E" w14:textId="77777777" w:rsidR="009F7C35" w:rsidRPr="009F7C35" w:rsidRDefault="009F7C35" w:rsidP="009F7C35">
            <w:r w:rsidRPr="009F7C35">
              <w:t>event that the driver of a vehicle approaching the roundabout or attempting to negotiate the</w:t>
            </w:r>
          </w:p>
          <w:p w14:paraId="4D8A4676" w14:textId="77777777" w:rsidR="009F7C35" w:rsidRPr="009F7C35" w:rsidRDefault="009F7C35" w:rsidP="009F7C35">
            <w:r w:rsidRPr="009F7C35">
              <w:t>roundabout ICD were to lose control, it could lead to the vehicle concerned leaving the</w:t>
            </w:r>
          </w:p>
          <w:p w14:paraId="4CBE0E02" w14:textId="77777777" w:rsidR="009F7C35" w:rsidRPr="009F7C35" w:rsidRDefault="009F7C35" w:rsidP="009F7C35">
            <w:r w:rsidRPr="009F7C35">
              <w:t>carriageway at speed whereupon the vehicle could collide with the sculpture resulting in injury</w:t>
            </w:r>
          </w:p>
          <w:p w14:paraId="2A76FBD1" w14:textId="322C4735" w:rsidR="00701175" w:rsidRDefault="009F7C35" w:rsidP="009F7C35">
            <w:r w:rsidRPr="009F7C35">
              <w:t>to vehicle occupants.</w:t>
            </w:r>
          </w:p>
        </w:tc>
        <w:tc>
          <w:tcPr>
            <w:tcW w:w="2902" w:type="dxa"/>
          </w:tcPr>
          <w:p w14:paraId="31A73BAC" w14:textId="36AF1B7B" w:rsidR="00701175" w:rsidRDefault="001F2471" w:rsidP="00701175">
            <w:r>
              <w:t>It is recommended that a RRRAP assessment be undertaken on the scheme to determine whether or not any additional vehicle restraint measures are required in the vicinity to prevent the potential for vehicles to collide with the sculpture in the even that they were to leave the carriageway.</w:t>
            </w:r>
          </w:p>
        </w:tc>
        <w:tc>
          <w:tcPr>
            <w:tcW w:w="2373" w:type="dxa"/>
          </w:tcPr>
          <w:p w14:paraId="77A8F88B" w14:textId="745B7247" w:rsidR="00701175" w:rsidRDefault="00314FEF" w:rsidP="00701175">
            <w:r>
              <w:t xml:space="preserve">Disagree. Sculpture to be installed 13m back from carriageway edge at a location where vehicles will be reducing their speeds on the approach to the roundabout. A Risk Assessment has been undertaken as per the requirements of </w:t>
            </w:r>
            <w:r w:rsidR="006D2415">
              <w:t xml:space="preserve">paragraphs 4.16 and 4.17 of </w:t>
            </w:r>
            <w:r>
              <w:t>GG119 and is included as Appendix B to this RSA Response Report.</w:t>
            </w:r>
          </w:p>
        </w:tc>
        <w:tc>
          <w:tcPr>
            <w:tcW w:w="2373" w:type="dxa"/>
          </w:tcPr>
          <w:p w14:paraId="2853DC24" w14:textId="23C70C69" w:rsidR="0019086C" w:rsidRDefault="0019086C" w:rsidP="00701175">
            <w:r w:rsidRPr="003A0989">
              <w:t>Agree with Design Organisation Response</w:t>
            </w:r>
            <w:r w:rsidR="003A0989">
              <w:t xml:space="preserve"> following production of Risk Assessment included as Appendix B to this report.</w:t>
            </w:r>
          </w:p>
        </w:tc>
        <w:tc>
          <w:tcPr>
            <w:tcW w:w="2373" w:type="dxa"/>
          </w:tcPr>
          <w:p w14:paraId="34311D6E" w14:textId="5BCB81A7" w:rsidR="00701175" w:rsidRDefault="0019086C" w:rsidP="00701175">
            <w:r>
              <w:t xml:space="preserve">No further action. </w:t>
            </w:r>
          </w:p>
        </w:tc>
      </w:tr>
    </w:tbl>
    <w:p w14:paraId="5E852FA2" w14:textId="77777777" w:rsidR="00091B1D" w:rsidRDefault="00091B1D"/>
    <w:sectPr w:rsidR="00091B1D" w:rsidSect="009F7C35">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01D7" w14:textId="77777777" w:rsidR="00953142" w:rsidRDefault="00953142" w:rsidP="002840F7">
      <w:pPr>
        <w:spacing w:after="0" w:line="240" w:lineRule="auto"/>
      </w:pPr>
      <w:r>
        <w:separator/>
      </w:r>
    </w:p>
  </w:endnote>
  <w:endnote w:type="continuationSeparator" w:id="0">
    <w:p w14:paraId="60FDD4A3" w14:textId="77777777" w:rsidR="00953142" w:rsidRDefault="00953142" w:rsidP="0028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86431"/>
      <w:docPartObj>
        <w:docPartGallery w:val="Page Numbers (Bottom of Page)"/>
        <w:docPartUnique/>
      </w:docPartObj>
    </w:sdtPr>
    <w:sdtEndPr/>
    <w:sdtContent>
      <w:p w14:paraId="210A8120" w14:textId="7E515A1E" w:rsidR="002840F7" w:rsidRDefault="002840F7">
        <w:pPr>
          <w:pStyle w:val="Footer"/>
        </w:pPr>
        <w:r>
          <w:fldChar w:fldCharType="begin"/>
        </w:r>
        <w:r>
          <w:instrText>PAGE   \* MERGEFORMAT</w:instrText>
        </w:r>
        <w:r>
          <w:fldChar w:fldCharType="separate"/>
        </w:r>
        <w:r>
          <w:t>2</w:t>
        </w:r>
        <w:r>
          <w:fldChar w:fldCharType="end"/>
        </w:r>
      </w:p>
    </w:sdtContent>
  </w:sdt>
  <w:p w14:paraId="1F8A8625" w14:textId="77777777" w:rsidR="002840F7" w:rsidRDefault="0028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5F29" w14:textId="77777777" w:rsidR="00953142" w:rsidRDefault="00953142" w:rsidP="002840F7">
      <w:pPr>
        <w:spacing w:after="0" w:line="240" w:lineRule="auto"/>
      </w:pPr>
      <w:r>
        <w:separator/>
      </w:r>
    </w:p>
  </w:footnote>
  <w:footnote w:type="continuationSeparator" w:id="0">
    <w:p w14:paraId="2104F501" w14:textId="77777777" w:rsidR="00953142" w:rsidRDefault="00953142" w:rsidP="0028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F2F2" w14:textId="4F8FA673" w:rsidR="002840F7" w:rsidRDefault="002D2F2C">
    <w:pPr>
      <w:pStyle w:val="Header"/>
      <w:rPr>
        <w:rFonts w:asciiTheme="minorBidi" w:hAnsiTheme="minorBidi"/>
        <w:b/>
        <w:bCs/>
        <w:sz w:val="22"/>
        <w:szCs w:val="22"/>
      </w:rPr>
    </w:pPr>
    <w:r>
      <w:rPr>
        <w:rFonts w:asciiTheme="minorBidi" w:hAnsiTheme="minorBidi"/>
        <w:b/>
        <w:bCs/>
        <w:sz w:val="22"/>
        <w:szCs w:val="22"/>
      </w:rPr>
      <w:t xml:space="preserve">A635 Doncaster Road, Goldthorpe </w:t>
    </w:r>
    <w:r w:rsidR="002840F7" w:rsidRPr="002840F7">
      <w:rPr>
        <w:rFonts w:asciiTheme="minorBidi" w:hAnsiTheme="minorBidi"/>
        <w:b/>
        <w:bCs/>
        <w:sz w:val="22"/>
        <w:szCs w:val="22"/>
      </w:rPr>
      <w:t xml:space="preserve"> </w:t>
    </w:r>
  </w:p>
  <w:p w14:paraId="672DFA19" w14:textId="258A9437" w:rsidR="002840F7" w:rsidRDefault="002840F7">
    <w:pPr>
      <w:pStyle w:val="Header"/>
      <w:rPr>
        <w:rFonts w:asciiTheme="minorBidi" w:hAnsiTheme="minorBidi"/>
        <w:b/>
        <w:bCs/>
        <w:sz w:val="22"/>
        <w:szCs w:val="22"/>
      </w:rPr>
    </w:pPr>
    <w:r w:rsidRPr="002840F7">
      <w:rPr>
        <w:rFonts w:asciiTheme="minorBidi" w:hAnsiTheme="minorBidi"/>
        <w:b/>
        <w:bCs/>
        <w:sz w:val="22"/>
        <w:szCs w:val="22"/>
      </w:rPr>
      <w:t>Road Safety Audit</w:t>
    </w:r>
    <w:r w:rsidR="003A0989">
      <w:rPr>
        <w:rFonts w:asciiTheme="minorBidi" w:hAnsiTheme="minorBidi"/>
        <w:b/>
        <w:bCs/>
        <w:sz w:val="22"/>
        <w:szCs w:val="22"/>
      </w:rPr>
      <w:t xml:space="preserve"> Combined </w:t>
    </w:r>
    <w:r w:rsidRPr="002840F7">
      <w:rPr>
        <w:rFonts w:asciiTheme="minorBidi" w:hAnsiTheme="minorBidi"/>
        <w:b/>
        <w:bCs/>
        <w:sz w:val="22"/>
        <w:szCs w:val="22"/>
      </w:rPr>
      <w:t xml:space="preserve">Stage </w:t>
    </w:r>
    <w:r w:rsidR="00BC6559">
      <w:rPr>
        <w:rFonts w:asciiTheme="minorBidi" w:hAnsiTheme="minorBidi"/>
        <w:b/>
        <w:bCs/>
        <w:sz w:val="22"/>
        <w:szCs w:val="22"/>
      </w:rPr>
      <w:t>1</w:t>
    </w:r>
    <w:r w:rsidR="003A0989">
      <w:rPr>
        <w:rFonts w:asciiTheme="minorBidi" w:hAnsiTheme="minorBidi"/>
        <w:b/>
        <w:bCs/>
        <w:sz w:val="22"/>
        <w:szCs w:val="22"/>
      </w:rPr>
      <w:t>&amp;</w:t>
    </w:r>
    <w:r w:rsidR="00BC6559">
      <w:rPr>
        <w:rFonts w:asciiTheme="minorBidi" w:hAnsiTheme="minorBidi"/>
        <w:b/>
        <w:bCs/>
        <w:sz w:val="22"/>
        <w:szCs w:val="22"/>
      </w:rPr>
      <w:t xml:space="preserve">2 </w:t>
    </w:r>
    <w:r w:rsidRPr="002840F7">
      <w:rPr>
        <w:rFonts w:asciiTheme="minorBidi" w:hAnsiTheme="minorBidi"/>
        <w:b/>
        <w:bCs/>
        <w:sz w:val="22"/>
        <w:szCs w:val="22"/>
      </w:rPr>
      <w:t xml:space="preserve">Barnsley Metropolitan Borough Council </w:t>
    </w:r>
  </w:p>
  <w:p w14:paraId="18DF0A41" w14:textId="6A80F995" w:rsidR="002840F7" w:rsidRPr="002840F7" w:rsidRDefault="003A0989">
    <w:pPr>
      <w:pStyle w:val="Header"/>
      <w:rPr>
        <w:rFonts w:asciiTheme="minorBidi" w:hAnsiTheme="minorBidi"/>
        <w:b/>
        <w:bCs/>
        <w:sz w:val="22"/>
        <w:szCs w:val="22"/>
      </w:rPr>
    </w:pPr>
    <w:r>
      <w:rPr>
        <w:rFonts w:asciiTheme="minorBidi" w:hAnsiTheme="minorBidi"/>
        <w:b/>
        <w:bCs/>
        <w:sz w:val="22"/>
        <w:szCs w:val="22"/>
      </w:rPr>
      <w:t>RSA Response Report</w:t>
    </w:r>
    <w:r w:rsidR="002840F7">
      <w:rPr>
        <w:rFonts w:asciiTheme="minorBidi" w:hAnsiTheme="minorBidi"/>
        <w:b/>
        <w:bCs/>
        <w:sz w:val="22"/>
        <w:szCs w:val="22"/>
      </w:rPr>
      <w:t xml:space="preserve"> </w:t>
    </w:r>
    <w:r w:rsidR="0019086C">
      <w:rPr>
        <w:rFonts w:asciiTheme="minorBidi" w:hAnsiTheme="minorBidi"/>
        <w:b/>
        <w:bCs/>
        <w:sz w:val="22"/>
        <w:szCs w:val="22"/>
      </w:rPr>
      <w:t>02</w:t>
    </w:r>
    <w:r w:rsidR="0019086C" w:rsidRPr="0019086C">
      <w:rPr>
        <w:rFonts w:asciiTheme="minorBidi" w:hAnsiTheme="minorBidi"/>
        <w:b/>
        <w:bCs/>
        <w:sz w:val="22"/>
        <w:szCs w:val="22"/>
        <w:vertAlign w:val="superscript"/>
      </w:rPr>
      <w:t>nd</w:t>
    </w:r>
    <w:r w:rsidR="0019086C">
      <w:rPr>
        <w:rFonts w:asciiTheme="minorBidi" w:hAnsiTheme="minorBidi"/>
        <w:b/>
        <w:bCs/>
        <w:sz w:val="22"/>
        <w:szCs w:val="22"/>
      </w:rPr>
      <w:t xml:space="preserve"> February</w:t>
    </w:r>
    <w:r w:rsidR="007427DF">
      <w:rPr>
        <w:rFonts w:asciiTheme="minorBidi" w:hAnsiTheme="minorBidi"/>
        <w:b/>
        <w:bCs/>
        <w:sz w:val="22"/>
        <w:szCs w:val="22"/>
      </w:rPr>
      <w:t xml:space="preserve"> 2026</w:t>
    </w:r>
  </w:p>
  <w:p w14:paraId="58FFCD7E" w14:textId="77777777" w:rsidR="002840F7" w:rsidRDefault="002840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75"/>
    <w:rsid w:val="000117C4"/>
    <w:rsid w:val="00091B1D"/>
    <w:rsid w:val="0019086C"/>
    <w:rsid w:val="001B066B"/>
    <w:rsid w:val="001F2471"/>
    <w:rsid w:val="00220FB8"/>
    <w:rsid w:val="002840F7"/>
    <w:rsid w:val="002D2F2C"/>
    <w:rsid w:val="00314FEF"/>
    <w:rsid w:val="003A0989"/>
    <w:rsid w:val="00570C54"/>
    <w:rsid w:val="0060174E"/>
    <w:rsid w:val="006D2415"/>
    <w:rsid w:val="00701175"/>
    <w:rsid w:val="007427DF"/>
    <w:rsid w:val="007621BA"/>
    <w:rsid w:val="008C3046"/>
    <w:rsid w:val="00916ACC"/>
    <w:rsid w:val="00953142"/>
    <w:rsid w:val="009E4EAC"/>
    <w:rsid w:val="009F7C35"/>
    <w:rsid w:val="00A22EF9"/>
    <w:rsid w:val="00A86CC1"/>
    <w:rsid w:val="00BA6C45"/>
    <w:rsid w:val="00BC6559"/>
    <w:rsid w:val="00C80864"/>
    <w:rsid w:val="00DB680C"/>
    <w:rsid w:val="00F93DEC"/>
    <w:rsid w:val="00FD48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79FD"/>
  <w15:chartTrackingRefBased/>
  <w15:docId w15:val="{74CF17C0-B2FE-460A-9E42-6B74CB17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175"/>
    <w:rPr>
      <w:rFonts w:eastAsiaTheme="majorEastAsia" w:cstheme="majorBidi"/>
      <w:color w:val="272727" w:themeColor="text1" w:themeTint="D8"/>
    </w:rPr>
  </w:style>
  <w:style w:type="paragraph" w:styleId="Title">
    <w:name w:val="Title"/>
    <w:basedOn w:val="Normal"/>
    <w:next w:val="Normal"/>
    <w:link w:val="TitleChar"/>
    <w:uiPriority w:val="10"/>
    <w:qFormat/>
    <w:rsid w:val="0070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175"/>
    <w:pPr>
      <w:spacing w:before="160"/>
      <w:jc w:val="center"/>
    </w:pPr>
    <w:rPr>
      <w:i/>
      <w:iCs/>
      <w:color w:val="404040" w:themeColor="text1" w:themeTint="BF"/>
    </w:rPr>
  </w:style>
  <w:style w:type="character" w:customStyle="1" w:styleId="QuoteChar">
    <w:name w:val="Quote Char"/>
    <w:basedOn w:val="DefaultParagraphFont"/>
    <w:link w:val="Quote"/>
    <w:uiPriority w:val="29"/>
    <w:rsid w:val="00701175"/>
    <w:rPr>
      <w:i/>
      <w:iCs/>
      <w:color w:val="404040" w:themeColor="text1" w:themeTint="BF"/>
    </w:rPr>
  </w:style>
  <w:style w:type="paragraph" w:styleId="ListParagraph">
    <w:name w:val="List Paragraph"/>
    <w:basedOn w:val="Normal"/>
    <w:uiPriority w:val="34"/>
    <w:qFormat/>
    <w:rsid w:val="00701175"/>
    <w:pPr>
      <w:ind w:left="720"/>
      <w:contextualSpacing/>
    </w:pPr>
  </w:style>
  <w:style w:type="character" w:styleId="IntenseEmphasis">
    <w:name w:val="Intense Emphasis"/>
    <w:basedOn w:val="DefaultParagraphFont"/>
    <w:uiPriority w:val="21"/>
    <w:qFormat/>
    <w:rsid w:val="00701175"/>
    <w:rPr>
      <w:i/>
      <w:iCs/>
      <w:color w:val="0F4761" w:themeColor="accent1" w:themeShade="BF"/>
    </w:rPr>
  </w:style>
  <w:style w:type="paragraph" w:styleId="IntenseQuote">
    <w:name w:val="Intense Quote"/>
    <w:basedOn w:val="Normal"/>
    <w:next w:val="Normal"/>
    <w:link w:val="IntenseQuoteChar"/>
    <w:uiPriority w:val="30"/>
    <w:qFormat/>
    <w:rsid w:val="0070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175"/>
    <w:rPr>
      <w:i/>
      <w:iCs/>
      <w:color w:val="0F4761" w:themeColor="accent1" w:themeShade="BF"/>
    </w:rPr>
  </w:style>
  <w:style w:type="character" w:styleId="IntenseReference">
    <w:name w:val="Intense Reference"/>
    <w:basedOn w:val="DefaultParagraphFont"/>
    <w:uiPriority w:val="32"/>
    <w:qFormat/>
    <w:rsid w:val="00701175"/>
    <w:rPr>
      <w:b/>
      <w:bCs/>
      <w:smallCaps/>
      <w:color w:val="0F4761" w:themeColor="accent1" w:themeShade="BF"/>
      <w:spacing w:val="5"/>
    </w:rPr>
  </w:style>
  <w:style w:type="table" w:styleId="TableGrid">
    <w:name w:val="Table Grid"/>
    <w:basedOn w:val="TableNormal"/>
    <w:uiPriority w:val="39"/>
    <w:rsid w:val="00701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0F7"/>
  </w:style>
  <w:style w:type="paragraph" w:styleId="Footer">
    <w:name w:val="footer"/>
    <w:basedOn w:val="Normal"/>
    <w:link w:val="FooterChar"/>
    <w:uiPriority w:val="99"/>
    <w:unhideWhenUsed/>
    <w:rsid w:val="00284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Highways Plans</FileType1>
    <TaxCatchAll xmlns="f4edfb27-fdcf-4944-9520-fd54d4f1d725" xsi:nil="true"/>
    <_Flow_SignoffStatus xmlns="0cd06ba8-3d0c-4461-b1b9-cc99cc46e70a" xsi:nil="true"/>
    <CategoryDescription xmlns="http://schemas.microsoft.com/sharepoint.v3">Rec 16.3.2026</CategoryDescription>
    <Public xmlns="f4edfb27-fdcf-4944-9520-fd54d4f1d725">true</Public>
  </documentManagement>
</p:properties>
</file>

<file path=customXml/itemProps1.xml><?xml version="1.0" encoding="utf-8"?>
<ds:datastoreItem xmlns:ds="http://schemas.openxmlformats.org/officeDocument/2006/customXml" ds:itemID="{323B3BD6-101D-4158-929E-EB63BFB3BECE}"/>
</file>

<file path=customXml/itemProps2.xml><?xml version="1.0" encoding="utf-8"?>
<ds:datastoreItem xmlns:ds="http://schemas.openxmlformats.org/officeDocument/2006/customXml" ds:itemID="{F3A892B2-94F0-49C3-B9BE-A6868AA23657}"/>
</file>

<file path=customXml/itemProps3.xml><?xml version="1.0" encoding="utf-8"?>
<ds:datastoreItem xmlns:ds="http://schemas.openxmlformats.org/officeDocument/2006/customXml" ds:itemID="{6F800D9E-353B-4D65-B280-EF5A7AB9BFE2}"/>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1129</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Tunnacliffe , Andrew</dc:creator>
  <cp:keywords/>
  <dc:description/>
  <cp:lastModifiedBy>Brough , Suzanne (ECONOMIC REGENERATION PROJECT MANAGER)</cp:lastModifiedBy>
  <cp:revision>3</cp:revision>
  <dcterms:created xsi:type="dcterms:W3CDTF">2026-02-02T14:53:00Z</dcterms:created>
  <dcterms:modified xsi:type="dcterms:W3CDTF">2026-02-02T15:06:00Z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