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1C70DC4C" w:rsidR="0022108A" w:rsidRDefault="762FE492" w:rsidP="00CA5D75">
      <w:pPr>
        <w:ind w:left="-1276" w:right="-1440" w:firstLine="1276"/>
      </w:pPr>
      <w:r>
        <w:t xml:space="preserve"> </w:t>
      </w:r>
    </w:p>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6C2B025B">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522FDC15" w14:textId="17D1764E" w:rsidR="00206E9C" w:rsidRDefault="001316FA" w:rsidP="00206E9C">
            <w:pPr>
              <w:rPr>
                <w:rFonts w:ascii="Arial" w:hAnsi="Arial" w:cs="Arial"/>
                <w:sz w:val="20"/>
                <w:szCs w:val="20"/>
              </w:rPr>
            </w:pPr>
            <w:r>
              <w:rPr>
                <w:rFonts w:ascii="Arial" w:hAnsi="Arial" w:cs="Arial"/>
                <w:sz w:val="20"/>
                <w:szCs w:val="20"/>
              </w:rPr>
              <w:t>2026/</w:t>
            </w:r>
            <w:r w:rsidR="00732B8F">
              <w:rPr>
                <w:rFonts w:ascii="Arial" w:hAnsi="Arial" w:cs="Arial"/>
                <w:sz w:val="20"/>
                <w:szCs w:val="20"/>
              </w:rPr>
              <w:t>0166</w:t>
            </w:r>
          </w:p>
          <w:p w14:paraId="376D9724" w14:textId="66268C8C" w:rsidR="00C50413" w:rsidRPr="00206E9C" w:rsidRDefault="00C50413" w:rsidP="00206E9C">
            <w:pPr>
              <w:rPr>
                <w:rFonts w:ascii="Arial" w:hAnsi="Arial" w:cs="Arial"/>
                <w:sz w:val="20"/>
                <w:szCs w:val="20"/>
              </w:rPr>
            </w:pPr>
          </w:p>
        </w:tc>
      </w:tr>
      <w:tr w:rsidR="00206E9C" w14:paraId="14FF1243" w14:textId="77777777" w:rsidTr="6C2B025B">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0ACDAA0D" w:rsidR="00206E9C" w:rsidRPr="00F75709" w:rsidRDefault="00F75709" w:rsidP="001316FA">
            <w:pPr>
              <w:rPr>
                <w:rFonts w:ascii="Arial" w:hAnsi="Arial" w:cs="Arial"/>
                <w:sz w:val="20"/>
                <w:szCs w:val="20"/>
              </w:rPr>
            </w:pPr>
            <w:r w:rsidRPr="00F75709">
              <w:rPr>
                <w:rFonts w:ascii="Arial" w:hAnsi="Arial" w:cs="Arial"/>
                <w:sz w:val="20"/>
                <w:szCs w:val="20"/>
              </w:rPr>
              <w:t>D</w:t>
            </w:r>
            <w:r w:rsidRPr="00F75709">
              <w:rPr>
                <w:rFonts w:ascii="Arial" w:hAnsi="Arial" w:cs="Arial"/>
                <w:sz w:val="20"/>
                <w:szCs w:val="20"/>
              </w:rPr>
              <w:t>emolish the existing structure on the Site, and to replace this with a total of three retail units</w:t>
            </w:r>
            <w:r w:rsidR="00EF2B71" w:rsidRPr="00EF2B71">
              <w:rPr>
                <w:rFonts w:ascii="Arial" w:hAnsi="Arial" w:cs="Arial"/>
                <w:sz w:val="20"/>
                <w:szCs w:val="20"/>
              </w:rPr>
              <w:t xml:space="preserve">. </w:t>
            </w:r>
            <w:r w:rsidR="00EF2B71" w:rsidRPr="00EF2B71">
              <w:rPr>
                <w:rFonts w:ascii="Arial" w:hAnsi="Arial" w:cs="Arial"/>
                <w:sz w:val="20"/>
                <w:szCs w:val="20"/>
              </w:rPr>
              <w:t>At this time, whilst there are no proposed operators for any of the units, it is considered that the Site will be used by a convenience retail operator and two, food-to-go retailers.</w:t>
            </w:r>
            <w:r w:rsidR="00313588">
              <w:rPr>
                <w:rFonts w:ascii="Arial" w:hAnsi="Arial" w:cs="Arial"/>
                <w:sz w:val="20"/>
                <w:szCs w:val="20"/>
              </w:rPr>
              <w:t xml:space="preserve"> </w:t>
            </w:r>
            <w:r w:rsidR="00313588" w:rsidRPr="00313588">
              <w:rPr>
                <w:rFonts w:ascii="Arial" w:hAnsi="Arial" w:cs="Arial"/>
                <w:sz w:val="20"/>
                <w:szCs w:val="20"/>
              </w:rPr>
              <w:t>Outside of the proposed retail units, the proposal will also provide a total of thirty-six car parking spaces, including 6 EV charging bays and four accessible bays. In line with the Parking SPD document, the proposal seeks to provide a total of ten cycle parking spaces via 5 Sheffield stands.</w:t>
            </w:r>
          </w:p>
        </w:tc>
      </w:tr>
      <w:tr w:rsidR="00206E9C" w14:paraId="5AF2E6E0" w14:textId="77777777" w:rsidTr="6C2B025B">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4663E0BE" w:rsidR="00C50413" w:rsidRPr="00671D5A" w:rsidRDefault="00671D5A" w:rsidP="00313588">
            <w:pPr>
              <w:rPr>
                <w:rFonts w:ascii="Arial" w:hAnsi="Arial" w:cs="Arial"/>
                <w:sz w:val="20"/>
                <w:szCs w:val="20"/>
              </w:rPr>
            </w:pPr>
            <w:r w:rsidRPr="00671D5A">
              <w:rPr>
                <w:rFonts w:ascii="Arial" w:hAnsi="Arial" w:cs="Arial"/>
                <w:sz w:val="20"/>
                <w:szCs w:val="20"/>
              </w:rPr>
              <w:t>Land South of Brampton Road, Wombwell, Barnsley, S73 0NZ</w:t>
            </w:r>
            <w:r w:rsidRPr="00671D5A">
              <w:rPr>
                <w:rFonts w:ascii="Arial" w:hAnsi="Arial" w:cs="Arial"/>
                <w:sz w:val="20"/>
                <w:szCs w:val="20"/>
              </w:rPr>
              <w:t xml:space="preserve"> (the site)</w:t>
            </w:r>
          </w:p>
        </w:tc>
      </w:tr>
      <w:tr w:rsidR="00206E9C" w14:paraId="19D3D08C" w14:textId="77777777" w:rsidTr="6C2B025B">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1DE865A5" w14:textId="5B9C1C35" w:rsidR="00206E9C" w:rsidRDefault="00671D5A" w:rsidP="00206E9C">
            <w:pPr>
              <w:rPr>
                <w:rFonts w:ascii="Arial" w:hAnsi="Arial" w:cs="Arial"/>
                <w:sz w:val="20"/>
                <w:szCs w:val="20"/>
              </w:rPr>
            </w:pPr>
            <w:r>
              <w:rPr>
                <w:rFonts w:ascii="Arial" w:hAnsi="Arial" w:cs="Arial"/>
                <w:sz w:val="20"/>
                <w:szCs w:val="20"/>
              </w:rPr>
              <w:t>12</w:t>
            </w:r>
            <w:r w:rsidRPr="00671D5A">
              <w:rPr>
                <w:rFonts w:ascii="Arial" w:hAnsi="Arial" w:cs="Arial"/>
                <w:sz w:val="20"/>
                <w:szCs w:val="20"/>
                <w:vertAlign w:val="superscript"/>
              </w:rPr>
              <w:t>th</w:t>
            </w:r>
            <w:r>
              <w:rPr>
                <w:rFonts w:ascii="Arial" w:hAnsi="Arial" w:cs="Arial"/>
                <w:sz w:val="20"/>
                <w:szCs w:val="20"/>
              </w:rPr>
              <w:t xml:space="preserve"> August</w:t>
            </w:r>
            <w:r w:rsidR="000C5E79">
              <w:rPr>
                <w:rFonts w:ascii="Arial" w:hAnsi="Arial" w:cs="Arial"/>
                <w:sz w:val="20"/>
                <w:szCs w:val="20"/>
              </w:rPr>
              <w:t xml:space="preserve"> 2026</w:t>
            </w:r>
          </w:p>
          <w:p w14:paraId="36529967" w14:textId="1BFF75DA" w:rsidR="00C50413" w:rsidRPr="00206E9C" w:rsidRDefault="00C50413" w:rsidP="00206E9C">
            <w:pPr>
              <w:rPr>
                <w:rFonts w:ascii="Arial" w:hAnsi="Arial" w:cs="Arial"/>
                <w:sz w:val="20"/>
                <w:szCs w:val="20"/>
              </w:rPr>
            </w:pPr>
          </w:p>
        </w:tc>
      </w:tr>
      <w:tr w:rsidR="00206E9C" w14:paraId="49CCCDEF" w14:textId="77777777" w:rsidTr="6C2B025B">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103E12B8" w14:textId="77777777" w:rsidR="00206E9C" w:rsidRDefault="4B2C0871" w:rsidP="00206E9C">
            <w:pPr>
              <w:rPr>
                <w:rFonts w:ascii="Arial" w:hAnsi="Arial" w:cs="Arial"/>
                <w:sz w:val="20"/>
                <w:szCs w:val="20"/>
              </w:rPr>
            </w:pPr>
            <w:r w:rsidRPr="6C2B025B">
              <w:rPr>
                <w:rFonts w:ascii="Arial" w:hAnsi="Arial" w:cs="Arial"/>
                <w:sz w:val="20"/>
                <w:szCs w:val="20"/>
              </w:rPr>
              <w:t>Public Health</w:t>
            </w:r>
          </w:p>
          <w:p w14:paraId="512D16B4" w14:textId="094F8B07" w:rsidR="00C50413" w:rsidRPr="00206E9C" w:rsidRDefault="00C50413" w:rsidP="00206E9C">
            <w:pPr>
              <w:rPr>
                <w:rFonts w:ascii="Arial" w:hAnsi="Arial" w:cs="Arial"/>
                <w:sz w:val="20"/>
                <w:szCs w:val="20"/>
              </w:rPr>
            </w:pP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2EEDFB42">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2EEDFB42">
        <w:tc>
          <w:tcPr>
            <w:tcW w:w="9016" w:type="dxa"/>
            <w:gridSpan w:val="3"/>
          </w:tcPr>
          <w:p w14:paraId="45733E36" w14:textId="77777777" w:rsidR="00206E9C" w:rsidRPr="00206E9C" w:rsidRDefault="00206E9C" w:rsidP="00206E9C">
            <w:pPr>
              <w:rPr>
                <w:rFonts w:ascii="Arial" w:hAnsi="Arial" w:cs="Arial"/>
                <w:sz w:val="20"/>
                <w:szCs w:val="20"/>
              </w:rPr>
            </w:pPr>
          </w:p>
          <w:p w14:paraId="6D962018" w14:textId="77777777" w:rsidR="00206E9C" w:rsidRPr="00206E9C" w:rsidRDefault="00206E9C" w:rsidP="00206E9C">
            <w:pPr>
              <w:rPr>
                <w:rFonts w:ascii="Arial" w:hAnsi="Arial" w:cs="Arial"/>
                <w:sz w:val="20"/>
                <w:szCs w:val="20"/>
              </w:rPr>
            </w:pPr>
          </w:p>
          <w:p w14:paraId="69B5F550" w14:textId="17D68E28" w:rsidR="00206E9C" w:rsidRPr="00206E9C" w:rsidRDefault="7FDF4D51" w:rsidP="7ED99A1F">
            <w:pPr>
              <w:rPr>
                <w:rFonts w:eastAsiaTheme="minorEastAsia"/>
                <w:color w:val="000000" w:themeColor="text1"/>
                <w:sz w:val="24"/>
                <w:szCs w:val="24"/>
              </w:rPr>
            </w:pPr>
            <w:r w:rsidRPr="7ED99A1F">
              <w:rPr>
                <w:rFonts w:eastAsiaTheme="minorEastAsia"/>
                <w:color w:val="000000" w:themeColor="text1"/>
                <w:sz w:val="24"/>
                <w:szCs w:val="24"/>
                <w:u w:val="single"/>
              </w:rPr>
              <w:t>Hot Food Takeaway Planning Application – 20</w:t>
            </w:r>
            <w:r w:rsidR="00D04A71">
              <w:rPr>
                <w:rFonts w:eastAsiaTheme="minorEastAsia"/>
                <w:color w:val="000000" w:themeColor="text1"/>
                <w:sz w:val="24"/>
                <w:szCs w:val="24"/>
                <w:u w:val="single"/>
              </w:rPr>
              <w:t>26/</w:t>
            </w:r>
            <w:r w:rsidR="00671D5A">
              <w:rPr>
                <w:rFonts w:eastAsiaTheme="minorEastAsia"/>
                <w:color w:val="000000" w:themeColor="text1"/>
                <w:sz w:val="24"/>
                <w:szCs w:val="24"/>
                <w:u w:val="single"/>
              </w:rPr>
              <w:t>0166</w:t>
            </w:r>
          </w:p>
          <w:p w14:paraId="49C0A608" w14:textId="2D21A0B5" w:rsidR="00206E9C" w:rsidRPr="00206E9C" w:rsidRDefault="00206E9C" w:rsidP="7ED99A1F">
            <w:pPr>
              <w:rPr>
                <w:rFonts w:eastAsiaTheme="minorEastAsia"/>
                <w:color w:val="000000" w:themeColor="text1"/>
                <w:sz w:val="24"/>
                <w:szCs w:val="24"/>
                <w:u w:val="single"/>
              </w:rPr>
            </w:pPr>
          </w:p>
          <w:p w14:paraId="2D0C0FFA" w14:textId="7C49DC93" w:rsidR="00710120" w:rsidRDefault="008F4C09" w:rsidP="00710120">
            <w:pPr>
              <w:rPr>
                <w:rFonts w:eastAsiaTheme="minorEastAsia"/>
                <w:color w:val="000000" w:themeColor="text1"/>
                <w:sz w:val="24"/>
                <w:szCs w:val="24"/>
              </w:rPr>
            </w:pPr>
            <w:r w:rsidRPr="6189B2B4">
              <w:rPr>
                <w:rFonts w:eastAsiaTheme="minorEastAsia"/>
                <w:color w:val="000000" w:themeColor="text1"/>
                <w:sz w:val="24"/>
                <w:szCs w:val="24"/>
              </w:rPr>
              <w:t>Barnsley Council is committed to</w:t>
            </w:r>
            <w:r w:rsidR="006B7FEA">
              <w:rPr>
                <w:rFonts w:eastAsiaTheme="minorEastAsia"/>
                <w:color w:val="000000" w:themeColor="text1"/>
                <w:sz w:val="24"/>
                <w:szCs w:val="24"/>
              </w:rPr>
              <w:t xml:space="preserve"> </w:t>
            </w:r>
            <w:r w:rsidR="00710120" w:rsidRPr="6189B2B4">
              <w:rPr>
                <w:rFonts w:eastAsiaTheme="minorEastAsia"/>
                <w:color w:val="000000" w:themeColor="text1"/>
                <w:sz w:val="24"/>
                <w:szCs w:val="24"/>
              </w:rPr>
              <w:t>enhancing and diversifying the local food environment, increasing access to nutritious and high-quality food, and addressing diet health issues such as obesity, diabetes and cardiovascular disease</w:t>
            </w:r>
            <w:r w:rsidR="00C101BA">
              <w:rPr>
                <w:rFonts w:eastAsiaTheme="minorEastAsia"/>
                <w:color w:val="000000" w:themeColor="text1"/>
                <w:sz w:val="24"/>
                <w:szCs w:val="24"/>
              </w:rPr>
              <w:t>.</w:t>
            </w:r>
          </w:p>
          <w:p w14:paraId="6AA211F2" w14:textId="77777777" w:rsidR="00C101BA" w:rsidRPr="00206E9C" w:rsidRDefault="00C101BA" w:rsidP="00710120">
            <w:pPr>
              <w:rPr>
                <w:rFonts w:eastAsiaTheme="minorEastAsia"/>
                <w:color w:val="D13438"/>
                <w:sz w:val="24"/>
                <w:szCs w:val="24"/>
              </w:rPr>
            </w:pPr>
          </w:p>
          <w:p w14:paraId="13CC26AB" w14:textId="34F93DC5" w:rsidR="00340CD2" w:rsidRDefault="009D047D" w:rsidP="008018F7">
            <w:pPr>
              <w:pStyle w:val="Default"/>
              <w:rPr>
                <w:rFonts w:asciiTheme="minorHAnsi" w:eastAsiaTheme="minorEastAsia" w:hAnsiTheme="minorHAnsi"/>
                <w:color w:val="000000" w:themeColor="text1"/>
              </w:rPr>
            </w:pPr>
            <w:r>
              <w:rPr>
                <w:rFonts w:asciiTheme="minorHAnsi" w:eastAsiaTheme="minorEastAsia" w:hAnsiTheme="minorHAnsi"/>
                <w:color w:val="000000" w:themeColor="text1"/>
              </w:rPr>
              <w:t>Given that n</w:t>
            </w:r>
            <w:r w:rsidR="008F4C09" w:rsidRPr="008018F7">
              <w:rPr>
                <w:rFonts w:asciiTheme="minorHAnsi" w:eastAsiaTheme="minorEastAsia" w:hAnsiTheme="minorHAnsi"/>
                <w:color w:val="000000" w:themeColor="text1"/>
              </w:rPr>
              <w:t>early 40% of Barnsley’s children leave primary school overweight or obese, shaping the local food environment is a crucial strategy in supporting healthier lifestyles.</w:t>
            </w:r>
            <w:r w:rsidR="00635F5C" w:rsidRPr="008018F7">
              <w:rPr>
                <w:rFonts w:asciiTheme="minorHAnsi" w:eastAsiaTheme="minorEastAsia" w:hAnsiTheme="minorHAnsi"/>
                <w:color w:val="000000" w:themeColor="text1"/>
              </w:rPr>
              <w:t xml:space="preserve">  </w:t>
            </w:r>
          </w:p>
          <w:p w14:paraId="1F0B7804" w14:textId="77777777" w:rsidR="00BF5A72" w:rsidRPr="008018F7" w:rsidRDefault="00BF5A72" w:rsidP="008018F7">
            <w:pPr>
              <w:pStyle w:val="Default"/>
              <w:rPr>
                <w:rFonts w:asciiTheme="minorHAnsi" w:hAnsiTheme="minorHAnsi"/>
              </w:rPr>
            </w:pPr>
          </w:p>
          <w:p w14:paraId="4AA873FD" w14:textId="7D66261F" w:rsidR="008F4C09" w:rsidRDefault="1B24D386" w:rsidP="6189B2B4">
            <w:pPr>
              <w:rPr>
                <w:rFonts w:eastAsiaTheme="minorEastAsia"/>
                <w:color w:val="000000" w:themeColor="text1"/>
                <w:sz w:val="24"/>
                <w:szCs w:val="24"/>
              </w:rPr>
            </w:pPr>
            <w:r w:rsidRPr="6189B2B4">
              <w:rPr>
                <w:rFonts w:eastAsiaTheme="minorEastAsia"/>
                <w:color w:val="000000" w:themeColor="text1"/>
                <w:sz w:val="24"/>
                <w:szCs w:val="24"/>
              </w:rPr>
              <w:t>Barnsley</w:t>
            </w:r>
            <w:r w:rsidR="00AF0F2A">
              <w:rPr>
                <w:rFonts w:eastAsiaTheme="minorEastAsia"/>
                <w:color w:val="000000" w:themeColor="text1"/>
                <w:sz w:val="24"/>
                <w:szCs w:val="24"/>
              </w:rPr>
              <w:t>’s</w:t>
            </w:r>
            <w:r w:rsidRPr="6189B2B4">
              <w:rPr>
                <w:rFonts w:eastAsiaTheme="minorEastAsia"/>
                <w:color w:val="000000" w:themeColor="text1"/>
                <w:sz w:val="24"/>
                <w:szCs w:val="24"/>
              </w:rPr>
              <w:t xml:space="preserve"> </w:t>
            </w:r>
            <w:r w:rsidR="00635F5C" w:rsidRPr="6189B2B4">
              <w:rPr>
                <w:rFonts w:eastAsiaTheme="minorEastAsia"/>
                <w:color w:val="000000" w:themeColor="text1"/>
                <w:sz w:val="24"/>
                <w:szCs w:val="24"/>
              </w:rPr>
              <w:t>food plan</w:t>
            </w:r>
            <w:r w:rsidR="00AF0F2A">
              <w:rPr>
                <w:rFonts w:eastAsiaTheme="minorEastAsia"/>
                <w:color w:val="000000" w:themeColor="text1"/>
                <w:sz w:val="24"/>
                <w:szCs w:val="24"/>
              </w:rPr>
              <w:t xml:space="preserve"> sets out a strategic approach</w:t>
            </w:r>
            <w:r w:rsidR="00635F5C" w:rsidRPr="6189B2B4">
              <w:rPr>
                <w:rFonts w:eastAsiaTheme="minorEastAsia"/>
                <w:color w:val="000000" w:themeColor="text1"/>
                <w:sz w:val="24"/>
                <w:szCs w:val="24"/>
              </w:rPr>
              <w:t xml:space="preserve"> to improve and diversify the local food environment, increase access to healthy, good quality food, reduce obesity levels and improve obesity related health outcomes, such as diabetes and cardiovascular diseas</w:t>
            </w:r>
            <w:r w:rsidR="00D67A76" w:rsidRPr="6189B2B4">
              <w:rPr>
                <w:rFonts w:eastAsiaTheme="minorEastAsia"/>
                <w:color w:val="000000" w:themeColor="text1"/>
                <w:sz w:val="24"/>
                <w:szCs w:val="24"/>
              </w:rPr>
              <w:t xml:space="preserve">e.  </w:t>
            </w:r>
          </w:p>
          <w:p w14:paraId="49A0FC37" w14:textId="77777777" w:rsidR="00BF5A72" w:rsidRPr="00DF0F37" w:rsidRDefault="00BF5A72" w:rsidP="6189B2B4">
            <w:pPr>
              <w:rPr>
                <w:rFonts w:eastAsiaTheme="minorEastAsia"/>
                <w:color w:val="000000" w:themeColor="text1"/>
                <w:sz w:val="24"/>
                <w:szCs w:val="24"/>
              </w:rPr>
            </w:pPr>
          </w:p>
          <w:p w14:paraId="3115F3CD" w14:textId="79A68512" w:rsidR="00206E9C" w:rsidRDefault="46183E7D" w:rsidP="7ED99A1F">
            <w:pPr>
              <w:rPr>
                <w:rFonts w:eastAsiaTheme="minorEastAsia"/>
                <w:sz w:val="24"/>
                <w:szCs w:val="24"/>
              </w:rPr>
            </w:pPr>
            <w:r w:rsidRPr="7ED99A1F">
              <w:rPr>
                <w:rFonts w:eastAsiaTheme="minorEastAsia"/>
                <w:sz w:val="24"/>
                <w:szCs w:val="24"/>
              </w:rPr>
              <w:t>Public Health has reviewed the proposal in line with the latest local and national guidance</w:t>
            </w:r>
            <w:r w:rsidR="00646276">
              <w:rPr>
                <w:rFonts w:eastAsiaTheme="minorEastAsia"/>
                <w:sz w:val="24"/>
                <w:szCs w:val="24"/>
              </w:rPr>
              <w:t>.</w:t>
            </w:r>
          </w:p>
          <w:p w14:paraId="2A60C81F" w14:textId="77777777" w:rsidR="008C35DF" w:rsidRDefault="008C35DF" w:rsidP="7ED99A1F">
            <w:pPr>
              <w:rPr>
                <w:rFonts w:eastAsiaTheme="minorEastAsia"/>
                <w:sz w:val="24"/>
                <w:szCs w:val="24"/>
              </w:rPr>
            </w:pPr>
          </w:p>
          <w:p w14:paraId="6F7FFE84" w14:textId="23AA21C1" w:rsidR="00BB1D57" w:rsidRDefault="00BF33A9" w:rsidP="00BB1D57">
            <w:pPr>
              <w:rPr>
                <w:rStyle w:val="normaltextrun"/>
                <w:rFonts w:ascii="Aptos" w:hAnsi="Aptos" w:cs="Segoe UI"/>
                <w:sz w:val="24"/>
                <w:szCs w:val="24"/>
              </w:rPr>
            </w:pPr>
            <w:r w:rsidRPr="00BB1D57">
              <w:rPr>
                <w:rStyle w:val="normaltextrun"/>
                <w:rFonts w:ascii="Aptos" w:hAnsi="Aptos" w:cs="Segoe UI"/>
                <w:sz w:val="24"/>
                <w:szCs w:val="24"/>
              </w:rPr>
              <w:t>The comments below are made </w:t>
            </w:r>
            <w:proofErr w:type="gramStart"/>
            <w:r w:rsidRPr="00BB1D57">
              <w:rPr>
                <w:rStyle w:val="normaltextrun"/>
                <w:rFonts w:ascii="Aptos" w:hAnsi="Aptos" w:cs="Segoe UI"/>
                <w:sz w:val="24"/>
                <w:szCs w:val="24"/>
              </w:rPr>
              <w:t>with regard to</w:t>
            </w:r>
            <w:proofErr w:type="gramEnd"/>
            <w:r w:rsidRPr="00BB1D57">
              <w:rPr>
                <w:rStyle w:val="normaltextrun"/>
                <w:rFonts w:ascii="Aptos" w:hAnsi="Aptos" w:cs="Segoe UI"/>
                <w:sz w:val="24"/>
                <w:szCs w:val="24"/>
              </w:rPr>
              <w:t>:</w:t>
            </w:r>
          </w:p>
          <w:p w14:paraId="242DFDD4" w14:textId="5E820521" w:rsidR="00BB1D57" w:rsidRPr="00646276" w:rsidRDefault="00BB1D57" w:rsidP="00BB1D57">
            <w:pPr>
              <w:pStyle w:val="ListParagraph"/>
              <w:numPr>
                <w:ilvl w:val="0"/>
                <w:numId w:val="8"/>
              </w:numPr>
              <w:rPr>
                <w:rFonts w:ascii="Aptos" w:hAnsi="Aptos" w:cs="Segoe UI"/>
                <w:sz w:val="24"/>
                <w:szCs w:val="24"/>
              </w:rPr>
            </w:pPr>
            <w:r w:rsidRPr="00646276">
              <w:rPr>
                <w:rFonts w:ascii="Aptos" w:hAnsi="Aptos" w:cs="Segoe UI"/>
                <w:sz w:val="24"/>
                <w:szCs w:val="24"/>
              </w:rPr>
              <w:t>T</w:t>
            </w:r>
            <w:r w:rsidRPr="00646276">
              <w:rPr>
                <w:sz w:val="24"/>
                <w:szCs w:val="24"/>
              </w:rPr>
              <w:t xml:space="preserve">he </w:t>
            </w:r>
            <w:r w:rsidRPr="00646276">
              <w:rPr>
                <w:b/>
                <w:bCs/>
                <w:sz w:val="24"/>
                <w:szCs w:val="24"/>
              </w:rPr>
              <w:t>Hot Food Takeaway Supplement</w:t>
            </w:r>
            <w:r w:rsidR="00646276" w:rsidRPr="00646276">
              <w:rPr>
                <w:b/>
                <w:bCs/>
                <w:sz w:val="24"/>
                <w:szCs w:val="24"/>
              </w:rPr>
              <w:t>ary Planning Document (SPD)</w:t>
            </w:r>
          </w:p>
          <w:p w14:paraId="06CA4C5A" w14:textId="77777777" w:rsidR="00646276" w:rsidRDefault="00646276" w:rsidP="00646276">
            <w:pPr>
              <w:pStyle w:val="ListParagraph"/>
              <w:numPr>
                <w:ilvl w:val="0"/>
                <w:numId w:val="8"/>
              </w:numPr>
              <w:rPr>
                <w:rFonts w:ascii="Aptos" w:hAnsi="Aptos" w:cs="Segoe UI"/>
                <w:sz w:val="24"/>
                <w:szCs w:val="24"/>
              </w:rPr>
            </w:pPr>
            <w:r w:rsidRPr="00646276">
              <w:rPr>
                <w:rFonts w:ascii="Aptos" w:hAnsi="Aptos" w:cs="Segoe UI"/>
                <w:b/>
                <w:bCs/>
                <w:sz w:val="24"/>
                <w:szCs w:val="24"/>
              </w:rPr>
              <w:t>Planning Advice Note (PAN)</w:t>
            </w:r>
            <w:r>
              <w:rPr>
                <w:rFonts w:ascii="Aptos" w:hAnsi="Aptos" w:cs="Segoe UI"/>
                <w:sz w:val="24"/>
                <w:szCs w:val="24"/>
              </w:rPr>
              <w:t xml:space="preserve"> for Hot Food Takeaways </w:t>
            </w:r>
          </w:p>
          <w:p w14:paraId="79F17B3F" w14:textId="77777777" w:rsidR="00646276" w:rsidRPr="00646276"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lastRenderedPageBreak/>
              <w:t>The </w:t>
            </w:r>
            <w:r w:rsidRPr="00646276">
              <w:rPr>
                <w:rStyle w:val="normaltextrun"/>
                <w:rFonts w:ascii="Aptos" w:hAnsi="Aptos" w:cs="Segoe UI"/>
                <w:b/>
                <w:bCs/>
                <w:sz w:val="24"/>
                <w:szCs w:val="24"/>
              </w:rPr>
              <w:t>National Planning Policy Framework (NPPF)</w:t>
            </w:r>
            <w:r w:rsidRPr="00646276">
              <w:rPr>
                <w:rStyle w:val="normaltextrun"/>
                <w:rFonts w:ascii="Aptos" w:hAnsi="Aptos" w:cs="Segoe UI"/>
                <w:sz w:val="24"/>
                <w:szCs w:val="24"/>
              </w:rPr>
              <w:t>, which requires planning decisions to promote healthy and inclusive communities and to take account of health and wellbeing.</w:t>
            </w:r>
          </w:p>
          <w:p w14:paraId="696DC3AD" w14:textId="77777777" w:rsidR="00646276" w:rsidRPr="00646276"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t>The </w:t>
            </w:r>
            <w:r w:rsidRPr="00646276">
              <w:rPr>
                <w:rStyle w:val="normaltextrun"/>
                <w:rFonts w:ascii="Aptos" w:hAnsi="Aptos" w:cs="Segoe UI"/>
                <w:b/>
                <w:bCs/>
                <w:sz w:val="24"/>
                <w:szCs w:val="24"/>
              </w:rPr>
              <w:t>Barnsley Local Plan</w:t>
            </w:r>
            <w:r w:rsidRPr="00646276">
              <w:rPr>
                <w:rStyle w:val="normaltextrun"/>
                <w:rFonts w:ascii="Aptos" w:hAnsi="Aptos" w:cs="Segoe UI"/>
                <w:sz w:val="24"/>
                <w:szCs w:val="24"/>
              </w:rPr>
              <w:t> and associated planning guidance, which seek to manage the location and concentration of hot food takeaways </w:t>
            </w:r>
            <w:r w:rsidR="0013487F" w:rsidRPr="00646276">
              <w:rPr>
                <w:rStyle w:val="normaltextrun"/>
                <w:rFonts w:ascii="Aptos" w:hAnsi="Aptos" w:cs="Segoe UI"/>
              </w:rPr>
              <w:t>to</w:t>
            </w:r>
            <w:r w:rsidRPr="00646276">
              <w:rPr>
                <w:rStyle w:val="normaltextrun"/>
                <w:rFonts w:ascii="Aptos" w:hAnsi="Aptos" w:cs="Segoe UI"/>
                <w:sz w:val="24"/>
                <w:szCs w:val="24"/>
              </w:rPr>
              <w:t> support healthier food environments.</w:t>
            </w:r>
          </w:p>
          <w:p w14:paraId="4779EC69" w14:textId="553B9270" w:rsidR="00BF33A9"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t>Local public health evidence highlighting the cumulative impact of hot food takeaways on population health outcomes.</w:t>
            </w:r>
          </w:p>
          <w:p w14:paraId="497C1772" w14:textId="77777777" w:rsidR="0050611A" w:rsidRDefault="0050611A" w:rsidP="0050611A">
            <w:pPr>
              <w:pStyle w:val="ListParagraph"/>
              <w:rPr>
                <w:rStyle w:val="normaltextrun"/>
                <w:rFonts w:ascii="Aptos" w:hAnsi="Aptos" w:cs="Segoe UI"/>
                <w:sz w:val="24"/>
                <w:szCs w:val="24"/>
              </w:rPr>
            </w:pPr>
          </w:p>
          <w:p w14:paraId="457BE5AC" w14:textId="41287558" w:rsidR="00D4630F" w:rsidRDefault="0050611A" w:rsidP="00D4630F">
            <w:pPr>
              <w:rPr>
                <w:rFonts w:ascii="Aptos" w:hAnsi="Aptos" w:cs="Segoe UI"/>
                <w:b/>
                <w:bCs/>
                <w:sz w:val="24"/>
                <w:szCs w:val="24"/>
              </w:rPr>
            </w:pPr>
            <w:r w:rsidRPr="0050611A">
              <w:rPr>
                <w:rFonts w:ascii="Aptos" w:hAnsi="Aptos" w:cs="Segoe UI"/>
                <w:b/>
                <w:bCs/>
                <w:sz w:val="24"/>
                <w:szCs w:val="24"/>
              </w:rPr>
              <w:t xml:space="preserve">Assessment of the </w:t>
            </w:r>
            <w:r w:rsidR="00136244">
              <w:rPr>
                <w:rFonts w:ascii="Aptos" w:hAnsi="Aptos" w:cs="Segoe UI"/>
                <w:b/>
                <w:bCs/>
                <w:sz w:val="24"/>
                <w:szCs w:val="24"/>
              </w:rPr>
              <w:t>Application:</w:t>
            </w:r>
          </w:p>
          <w:p w14:paraId="3FB9D77E" w14:textId="77777777" w:rsidR="00B36027" w:rsidRDefault="0050611A" w:rsidP="00C66908">
            <w:pPr>
              <w:rPr>
                <w:rFonts w:cs="Arial"/>
                <w:sz w:val="24"/>
                <w:szCs w:val="24"/>
              </w:rPr>
            </w:pPr>
            <w:r>
              <w:rPr>
                <w:rFonts w:ascii="Aptos" w:hAnsi="Aptos" w:cs="Segoe UI"/>
                <w:sz w:val="24"/>
                <w:szCs w:val="24"/>
              </w:rPr>
              <w:t xml:space="preserve">The </w:t>
            </w:r>
            <w:r w:rsidR="00136244">
              <w:rPr>
                <w:rFonts w:ascii="Aptos" w:hAnsi="Aptos" w:cs="Segoe UI"/>
                <w:sz w:val="24"/>
                <w:szCs w:val="24"/>
              </w:rPr>
              <w:t>application</w:t>
            </w:r>
            <w:r>
              <w:rPr>
                <w:rFonts w:ascii="Aptos" w:hAnsi="Aptos" w:cs="Segoe UI"/>
                <w:sz w:val="24"/>
                <w:szCs w:val="24"/>
              </w:rPr>
              <w:t xml:space="preserve"> seeks </w:t>
            </w:r>
            <w:r w:rsidR="007A018C">
              <w:rPr>
                <w:rFonts w:ascii="Aptos" w:hAnsi="Aptos" w:cs="Segoe UI"/>
                <w:sz w:val="24"/>
                <w:szCs w:val="24"/>
              </w:rPr>
              <w:t xml:space="preserve">full planning permission </w:t>
            </w:r>
            <w:r w:rsidR="00783EC8" w:rsidRPr="00783EC8">
              <w:rPr>
                <w:rFonts w:cs="Segoe UI"/>
                <w:sz w:val="24"/>
                <w:szCs w:val="24"/>
              </w:rPr>
              <w:t>to d</w:t>
            </w:r>
            <w:r w:rsidR="00C66908" w:rsidRPr="00783EC8">
              <w:rPr>
                <w:rFonts w:cs="Arial"/>
                <w:sz w:val="24"/>
                <w:szCs w:val="24"/>
              </w:rPr>
              <w:t xml:space="preserve">emolish the existing structure on the Site, and to replace this with a total of three retail units. At this time, whilst there are no proposed operators for any of the units, it is considered that the Site will be used by a convenience retail operator and two, food-to-go retailers. </w:t>
            </w:r>
          </w:p>
          <w:p w14:paraId="5E4C979F" w14:textId="0FEB93CD" w:rsidR="0050611A" w:rsidRPr="00783EC8" w:rsidRDefault="00C66908" w:rsidP="00C66908">
            <w:pPr>
              <w:rPr>
                <w:rFonts w:cs="Segoe UI"/>
                <w:sz w:val="24"/>
                <w:szCs w:val="24"/>
              </w:rPr>
            </w:pPr>
            <w:r w:rsidRPr="00783EC8">
              <w:rPr>
                <w:rFonts w:cs="Arial"/>
                <w:sz w:val="24"/>
                <w:szCs w:val="24"/>
              </w:rPr>
              <w:t xml:space="preserve">Outside of the proposed retail units, the proposal will also provide a total of thirty-six car parking spaces, including 6 EV charging bays and four accessible bays. In line with the Parking SPD document, the proposal seeks to provide a total of ten cycle parking spaces via 5 Sheffield </w:t>
            </w:r>
            <w:r w:rsidR="00BC1D31" w:rsidRPr="00783EC8">
              <w:rPr>
                <w:rFonts w:cs="Arial"/>
                <w:sz w:val="24"/>
                <w:szCs w:val="24"/>
              </w:rPr>
              <w:t>stands</w:t>
            </w:r>
            <w:r w:rsidR="00B36027">
              <w:rPr>
                <w:rFonts w:cs="Arial"/>
                <w:sz w:val="24"/>
                <w:szCs w:val="24"/>
              </w:rPr>
              <w:t xml:space="preserve"> on the land </w:t>
            </w:r>
            <w:r w:rsidR="00D855AF">
              <w:rPr>
                <w:rFonts w:cs="Arial"/>
                <w:sz w:val="24"/>
                <w:szCs w:val="24"/>
              </w:rPr>
              <w:t>south of Brampton Rd, Wombwell.</w:t>
            </w:r>
          </w:p>
          <w:p w14:paraId="143F1FBA" w14:textId="56110A34" w:rsidR="00F76D55" w:rsidRPr="00F76D55" w:rsidRDefault="00297E7F" w:rsidP="00F76D55">
            <w:pPr>
              <w:pStyle w:val="paragraph"/>
              <w:spacing w:before="0" w:after="0"/>
              <w:textAlignment w:val="baseline"/>
              <w:rPr>
                <w:rFonts w:asciiTheme="minorHAnsi" w:hAnsiTheme="minorHAnsi" w:cs="Segoe UI"/>
              </w:rPr>
            </w:pPr>
            <w:r>
              <w:rPr>
                <w:rStyle w:val="normaltextrun"/>
                <w:rFonts w:asciiTheme="minorHAnsi" w:hAnsiTheme="minorHAnsi" w:cs="Segoe UI"/>
              </w:rPr>
              <w:t>While t</w:t>
            </w:r>
            <w:r w:rsidR="00F76D55" w:rsidRPr="00F76D55">
              <w:rPr>
                <w:rStyle w:val="normaltextrun"/>
                <w:rFonts w:asciiTheme="minorHAnsi" w:hAnsiTheme="minorHAnsi" w:cs="Segoe UI"/>
              </w:rPr>
              <w:t>he application</w:t>
            </w:r>
            <w:r w:rsidR="00BC1D31">
              <w:rPr>
                <w:rStyle w:val="normaltextrun"/>
                <w:rFonts w:asciiTheme="minorHAnsi" w:hAnsiTheme="minorHAnsi" w:cs="Segoe UI"/>
              </w:rPr>
              <w:t xml:space="preserve"> </w:t>
            </w:r>
            <w:r w:rsidR="00F76D55" w:rsidRPr="00F76D55">
              <w:rPr>
                <w:rStyle w:val="normaltextrun"/>
                <w:rFonts w:asciiTheme="minorHAnsi" w:hAnsiTheme="minorHAnsi" w:cs="Segoe UI"/>
              </w:rPr>
              <w:t>indicates that the use would be </w:t>
            </w:r>
            <w:r w:rsidR="00F76D55" w:rsidRPr="00F76D55">
              <w:rPr>
                <w:rStyle w:val="normaltextrun"/>
                <w:rFonts w:asciiTheme="minorHAnsi" w:hAnsiTheme="minorHAnsi" w:cs="Segoe UI"/>
                <w:b/>
                <w:bCs/>
              </w:rPr>
              <w:t>takeaway and delivery only</w:t>
            </w:r>
            <w:r w:rsidR="00F76D55" w:rsidRPr="00F76D55">
              <w:rPr>
                <w:rStyle w:val="normaltextrun"/>
                <w:rFonts w:asciiTheme="minorHAnsi" w:hAnsiTheme="minorHAnsi" w:cs="Segoe UI"/>
              </w:rPr>
              <w:t>, with no customer seating, Public Health notes that such uses still contribute to the overall food environment and exposure to unhealthy food choices. The absence of seating does not remove or reduce the public health impact associated with the proliferation of hot food takeaways.</w:t>
            </w:r>
          </w:p>
          <w:p w14:paraId="54B0EA6D" w14:textId="071E3586" w:rsidR="00F76D55" w:rsidRPr="00F76D55" w:rsidRDefault="00F76D55" w:rsidP="00F76D55">
            <w:pPr>
              <w:pStyle w:val="paragraph"/>
              <w:spacing w:before="0" w:after="0"/>
              <w:textAlignment w:val="baseline"/>
              <w:rPr>
                <w:rFonts w:asciiTheme="minorHAnsi" w:hAnsiTheme="minorHAnsi" w:cs="Segoe UI"/>
              </w:rPr>
            </w:pPr>
            <w:r w:rsidRPr="00F76D55">
              <w:rPr>
                <w:rStyle w:val="normaltextrun"/>
                <w:rFonts w:asciiTheme="minorHAnsi" w:hAnsiTheme="minorHAnsi" w:cs="Segoe UI"/>
              </w:rPr>
              <w:t>The submission does not demonstrate how the application would contribute positively to healthier food provision or mitigate its potential negative impacts on diet and health.</w:t>
            </w:r>
            <w:r w:rsidRPr="00F76D55">
              <w:rPr>
                <w:rStyle w:val="eop"/>
                <w:rFonts w:asciiTheme="minorHAnsi" w:hAnsiTheme="minorHAnsi" w:cs="Segoe UI"/>
                <w:bdr w:val="none" w:sz="0" w:space="0" w:color="auto" w:frame="1"/>
                <w:shd w:val="clear" w:color="auto" w:fill="C6C6C6"/>
              </w:rPr>
              <w:t> </w:t>
            </w:r>
          </w:p>
          <w:p w14:paraId="50257156" w14:textId="77777777" w:rsidR="00253875" w:rsidRPr="00110F49" w:rsidRDefault="00253875" w:rsidP="7ED99A1F">
            <w:pPr>
              <w:spacing w:after="160" w:line="278" w:lineRule="auto"/>
              <w:rPr>
                <w:rFonts w:eastAsiaTheme="minorEastAsia"/>
                <w:b/>
                <w:bCs/>
                <w:sz w:val="24"/>
                <w:szCs w:val="24"/>
              </w:rPr>
            </w:pPr>
            <w:r w:rsidRPr="7ED99A1F">
              <w:rPr>
                <w:rFonts w:eastAsiaTheme="minorEastAsia"/>
                <w:b/>
                <w:bCs/>
                <w:sz w:val="24"/>
                <w:szCs w:val="24"/>
              </w:rPr>
              <w:t>Local Data and Intelligence</w:t>
            </w:r>
          </w:p>
          <w:p w14:paraId="4779C55C" w14:textId="08334656" w:rsidR="00253875" w:rsidRPr="00110F49" w:rsidRDefault="00253875" w:rsidP="71C1DFE8">
            <w:pPr>
              <w:numPr>
                <w:ilvl w:val="0"/>
                <w:numId w:val="5"/>
              </w:numPr>
              <w:spacing w:after="160" w:line="278" w:lineRule="auto"/>
              <w:rPr>
                <w:rStyle w:val="normaltextrun"/>
                <w:rFonts w:ascii="Calibri Light" w:eastAsia="Calibri Light" w:hAnsi="Calibri Light" w:cs="Calibri Light"/>
                <w:color w:val="000000" w:themeColor="text1"/>
              </w:rPr>
            </w:pPr>
            <w:r w:rsidRPr="6189B2B4">
              <w:rPr>
                <w:rFonts w:eastAsiaTheme="minorEastAsia"/>
                <w:b/>
                <w:bCs/>
                <w:sz w:val="24"/>
                <w:szCs w:val="24"/>
              </w:rPr>
              <w:t>Obesity and Excess Weight:</w:t>
            </w:r>
            <w:r w:rsidRPr="6189B2B4">
              <w:rPr>
                <w:rFonts w:eastAsiaTheme="minorEastAsia"/>
                <w:sz w:val="24"/>
                <w:szCs w:val="24"/>
              </w:rPr>
              <w:t xml:space="preserve"> Levels of obesity and excessive weight are a significant health concern in Barnsley</w:t>
            </w:r>
            <w:r w:rsidR="00450992">
              <w:rPr>
                <w:rFonts w:eastAsiaTheme="minorEastAsia"/>
                <w:sz w:val="24"/>
                <w:szCs w:val="24"/>
              </w:rPr>
              <w:t xml:space="preserve">, with 67.8% of adults either overweight or obese </w:t>
            </w:r>
            <w:r w:rsidR="007A65AD">
              <w:rPr>
                <w:rFonts w:eastAsiaTheme="minorEastAsia"/>
                <w:sz w:val="24"/>
                <w:szCs w:val="24"/>
              </w:rPr>
              <w:t xml:space="preserve">which is 3.8% higher than the national average. </w:t>
            </w:r>
            <w:r w:rsidRPr="6189B2B4">
              <w:rPr>
                <w:rFonts w:eastAsiaTheme="minorEastAsia"/>
                <w:sz w:val="24"/>
                <w:szCs w:val="24"/>
              </w:rPr>
              <w:t xml:space="preserve">Over a third of Barnsley's </w:t>
            </w:r>
            <w:r w:rsidR="00BA7397" w:rsidRPr="6189B2B4">
              <w:rPr>
                <w:rFonts w:eastAsiaTheme="minorEastAsia"/>
                <w:sz w:val="24"/>
                <w:szCs w:val="24"/>
              </w:rPr>
              <w:t>10–11-year-olds</w:t>
            </w:r>
            <w:r w:rsidRPr="6189B2B4">
              <w:rPr>
                <w:rFonts w:eastAsiaTheme="minorEastAsia"/>
                <w:sz w:val="24"/>
                <w:szCs w:val="24"/>
              </w:rPr>
              <w:t xml:space="preserve"> are overweight or obese, and </w:t>
            </w:r>
            <w:r w:rsidR="00E719D1" w:rsidRPr="6189B2B4">
              <w:rPr>
                <w:rFonts w:eastAsiaTheme="minorEastAsia"/>
                <w:sz w:val="24"/>
                <w:szCs w:val="24"/>
              </w:rPr>
              <w:t>2</w:t>
            </w:r>
            <w:r w:rsidR="007A65AD">
              <w:rPr>
                <w:rFonts w:eastAsiaTheme="minorEastAsia"/>
                <w:sz w:val="24"/>
                <w:szCs w:val="24"/>
              </w:rPr>
              <w:t>3.2</w:t>
            </w:r>
            <w:r w:rsidRPr="6189B2B4">
              <w:rPr>
                <w:rFonts w:eastAsiaTheme="minorEastAsia"/>
                <w:sz w:val="24"/>
                <w:szCs w:val="24"/>
              </w:rPr>
              <w:t xml:space="preserve">% of </w:t>
            </w:r>
            <w:r w:rsidR="00B07235" w:rsidRPr="6189B2B4">
              <w:rPr>
                <w:rFonts w:eastAsiaTheme="minorEastAsia"/>
                <w:sz w:val="24"/>
                <w:szCs w:val="24"/>
              </w:rPr>
              <w:t>4–5-year-olds</w:t>
            </w:r>
            <w:r w:rsidRPr="6189B2B4">
              <w:rPr>
                <w:rFonts w:eastAsiaTheme="minorEastAsia"/>
                <w:sz w:val="24"/>
                <w:szCs w:val="24"/>
              </w:rPr>
              <w:t xml:space="preserve"> </w:t>
            </w:r>
            <w:r w:rsidR="007A65AD">
              <w:rPr>
                <w:rFonts w:eastAsiaTheme="minorEastAsia"/>
                <w:sz w:val="24"/>
                <w:szCs w:val="24"/>
              </w:rPr>
              <w:t>are overweight (including obese) (NHS England 2024)</w:t>
            </w:r>
            <w:r w:rsidRPr="6189B2B4">
              <w:rPr>
                <w:rFonts w:eastAsiaTheme="minorEastAsia"/>
                <w:sz w:val="24"/>
                <w:szCs w:val="24"/>
              </w:rPr>
              <w:t>.</w:t>
            </w:r>
            <w:r w:rsidR="002F7B42" w:rsidRPr="6189B2B4">
              <w:rPr>
                <w:rFonts w:eastAsiaTheme="minorEastAsia"/>
                <w:sz w:val="24"/>
                <w:szCs w:val="24"/>
              </w:rPr>
              <w:t xml:space="preserve"> </w:t>
            </w:r>
          </w:p>
          <w:p w14:paraId="25954173" w14:textId="6BA68D87" w:rsidR="00253875" w:rsidRPr="00110F49" w:rsidRDefault="00735645" w:rsidP="7ED99A1F">
            <w:pPr>
              <w:numPr>
                <w:ilvl w:val="0"/>
                <w:numId w:val="5"/>
              </w:numPr>
              <w:spacing w:after="160" w:line="278" w:lineRule="auto"/>
              <w:rPr>
                <w:rFonts w:eastAsiaTheme="minorEastAsia"/>
                <w:b/>
                <w:bCs/>
                <w:sz w:val="24"/>
                <w:szCs w:val="24"/>
              </w:rPr>
            </w:pPr>
            <w:r>
              <w:rPr>
                <w:rFonts w:eastAsiaTheme="minorEastAsia"/>
                <w:b/>
                <w:bCs/>
                <w:sz w:val="24"/>
                <w:szCs w:val="24"/>
              </w:rPr>
              <w:t xml:space="preserve">Wombwell </w:t>
            </w:r>
            <w:r w:rsidR="00253875" w:rsidRPr="7ED99A1F">
              <w:rPr>
                <w:rFonts w:eastAsiaTheme="minorEastAsia"/>
                <w:b/>
                <w:bCs/>
                <w:sz w:val="24"/>
                <w:szCs w:val="24"/>
              </w:rPr>
              <w:t>Ward Data:</w:t>
            </w:r>
          </w:p>
          <w:p w14:paraId="1A20D5B6" w14:textId="36FB9855" w:rsidR="00BA7397" w:rsidRDefault="00FD39C3" w:rsidP="00425393">
            <w:pPr>
              <w:pStyle w:val="ListParagraph"/>
              <w:numPr>
                <w:ilvl w:val="1"/>
                <w:numId w:val="5"/>
              </w:numPr>
              <w:spacing w:line="278" w:lineRule="auto"/>
              <w:rPr>
                <w:rFonts w:eastAsiaTheme="minorEastAsia"/>
                <w:sz w:val="24"/>
                <w:szCs w:val="24"/>
              </w:rPr>
            </w:pPr>
            <w:r>
              <w:rPr>
                <w:rFonts w:eastAsiaTheme="minorEastAsia"/>
                <w:sz w:val="24"/>
                <w:szCs w:val="24"/>
              </w:rPr>
              <w:t xml:space="preserve">Ward </w:t>
            </w:r>
            <w:r w:rsidR="00253875" w:rsidRPr="00160F97">
              <w:rPr>
                <w:rFonts w:eastAsiaTheme="minorEastAsia"/>
                <w:sz w:val="24"/>
                <w:szCs w:val="24"/>
              </w:rPr>
              <w:t xml:space="preserve">Population: </w:t>
            </w:r>
            <w:r>
              <w:rPr>
                <w:rFonts w:eastAsiaTheme="minorEastAsia"/>
                <w:sz w:val="24"/>
                <w:szCs w:val="24"/>
              </w:rPr>
              <w:t>1</w:t>
            </w:r>
            <w:r w:rsidR="00CF31FF">
              <w:rPr>
                <w:rFonts w:eastAsiaTheme="minorEastAsia"/>
                <w:sz w:val="24"/>
                <w:szCs w:val="24"/>
              </w:rPr>
              <w:t>1,978</w:t>
            </w:r>
          </w:p>
          <w:p w14:paraId="53E3959A" w14:textId="77777777" w:rsidR="00160F97" w:rsidRPr="00160F97" w:rsidRDefault="00160F97" w:rsidP="00160F97">
            <w:pPr>
              <w:pStyle w:val="ListParagraph"/>
              <w:spacing w:line="278" w:lineRule="auto"/>
              <w:rPr>
                <w:rFonts w:eastAsiaTheme="minorEastAsia"/>
                <w:sz w:val="24"/>
                <w:szCs w:val="24"/>
              </w:rPr>
            </w:pPr>
          </w:p>
          <w:p w14:paraId="75C3D986" w14:textId="405D8526" w:rsidR="001F32AD" w:rsidRDefault="003E7C14" w:rsidP="00425393">
            <w:pPr>
              <w:pStyle w:val="ListParagraph"/>
              <w:numPr>
                <w:ilvl w:val="1"/>
                <w:numId w:val="5"/>
              </w:numPr>
              <w:spacing w:line="278" w:lineRule="auto"/>
              <w:rPr>
                <w:rFonts w:eastAsiaTheme="minorEastAsia"/>
                <w:sz w:val="24"/>
                <w:szCs w:val="24"/>
              </w:rPr>
            </w:pPr>
            <w:r w:rsidRPr="00160F97">
              <w:rPr>
                <w:rFonts w:eastAsiaTheme="minorEastAsia"/>
                <w:sz w:val="24"/>
                <w:szCs w:val="24"/>
              </w:rPr>
              <w:t xml:space="preserve">The prevalence of overweight </w:t>
            </w:r>
            <w:r w:rsidR="003522AF" w:rsidRPr="00160F97">
              <w:rPr>
                <w:rFonts w:eastAsiaTheme="minorEastAsia"/>
                <w:sz w:val="24"/>
                <w:szCs w:val="24"/>
              </w:rPr>
              <w:t xml:space="preserve">(including obesity) </w:t>
            </w:r>
            <w:r w:rsidR="005500F4" w:rsidRPr="00160F97">
              <w:rPr>
                <w:rFonts w:eastAsiaTheme="minorEastAsia"/>
                <w:sz w:val="24"/>
                <w:szCs w:val="24"/>
              </w:rPr>
              <w:t>3-year a</w:t>
            </w:r>
            <w:r w:rsidR="007D676F" w:rsidRPr="00160F97">
              <w:rPr>
                <w:rFonts w:eastAsiaTheme="minorEastAsia"/>
                <w:sz w:val="24"/>
                <w:szCs w:val="24"/>
              </w:rPr>
              <w:t>g</w:t>
            </w:r>
            <w:r w:rsidR="009D440D" w:rsidRPr="00160F97">
              <w:rPr>
                <w:rFonts w:eastAsiaTheme="minorEastAsia"/>
                <w:sz w:val="24"/>
                <w:szCs w:val="24"/>
              </w:rPr>
              <w:t xml:space="preserve">gregated data </w:t>
            </w:r>
            <w:r w:rsidR="00FE2472" w:rsidRPr="00160F97">
              <w:rPr>
                <w:rFonts w:eastAsiaTheme="minorEastAsia"/>
                <w:sz w:val="24"/>
                <w:szCs w:val="24"/>
              </w:rPr>
              <w:t xml:space="preserve">(2021/22 </w:t>
            </w:r>
            <w:r w:rsidR="00CB3330" w:rsidRPr="00160F97">
              <w:rPr>
                <w:rFonts w:eastAsiaTheme="minorEastAsia"/>
                <w:sz w:val="24"/>
                <w:szCs w:val="24"/>
              </w:rPr>
              <w:t>–</w:t>
            </w:r>
            <w:r w:rsidR="00FE2472" w:rsidRPr="00160F97">
              <w:rPr>
                <w:rFonts w:eastAsiaTheme="minorEastAsia"/>
                <w:sz w:val="24"/>
                <w:szCs w:val="24"/>
              </w:rPr>
              <w:t xml:space="preserve"> 20</w:t>
            </w:r>
            <w:r w:rsidR="00CB3330" w:rsidRPr="00160F97">
              <w:rPr>
                <w:rFonts w:eastAsiaTheme="minorEastAsia"/>
                <w:sz w:val="24"/>
                <w:szCs w:val="24"/>
              </w:rPr>
              <w:t>23/24)</w:t>
            </w:r>
            <w:r w:rsidR="00FE2472" w:rsidRPr="00160F97">
              <w:rPr>
                <w:rFonts w:eastAsiaTheme="minorEastAsia"/>
                <w:sz w:val="24"/>
                <w:szCs w:val="24"/>
              </w:rPr>
              <w:t xml:space="preserve"> </w:t>
            </w:r>
            <w:r w:rsidR="00351188" w:rsidRPr="00160F97">
              <w:rPr>
                <w:rFonts w:eastAsiaTheme="minorEastAsia"/>
                <w:sz w:val="24"/>
                <w:szCs w:val="24"/>
              </w:rPr>
              <w:t>for Reception aged children</w:t>
            </w:r>
            <w:r w:rsidR="005D7437" w:rsidRPr="00160F97">
              <w:rPr>
                <w:rFonts w:eastAsiaTheme="minorEastAsia"/>
                <w:sz w:val="24"/>
                <w:szCs w:val="24"/>
              </w:rPr>
              <w:t xml:space="preserve"> (4-5 Year Olds)</w:t>
            </w:r>
            <w:r w:rsidR="00351188" w:rsidRPr="00160F97">
              <w:rPr>
                <w:rFonts w:eastAsiaTheme="minorEastAsia"/>
                <w:sz w:val="24"/>
                <w:szCs w:val="24"/>
              </w:rPr>
              <w:t xml:space="preserve"> </w:t>
            </w:r>
            <w:r w:rsidR="005A34C3" w:rsidRPr="00160F97">
              <w:rPr>
                <w:rFonts w:eastAsiaTheme="minorEastAsia"/>
                <w:sz w:val="24"/>
                <w:szCs w:val="24"/>
              </w:rPr>
              <w:t>is</w:t>
            </w:r>
            <w:r w:rsidR="00253875" w:rsidRPr="00160F97">
              <w:rPr>
                <w:rFonts w:eastAsiaTheme="minorEastAsia"/>
                <w:sz w:val="24"/>
                <w:szCs w:val="24"/>
              </w:rPr>
              <w:t xml:space="preserve">: </w:t>
            </w:r>
            <w:r w:rsidR="00355B4E" w:rsidRPr="00160F97">
              <w:rPr>
                <w:rFonts w:eastAsiaTheme="minorEastAsia"/>
                <w:sz w:val="24"/>
                <w:szCs w:val="24"/>
              </w:rPr>
              <w:t>2</w:t>
            </w:r>
            <w:r w:rsidR="0070228A">
              <w:rPr>
                <w:rFonts w:eastAsiaTheme="minorEastAsia"/>
                <w:sz w:val="24"/>
                <w:szCs w:val="24"/>
              </w:rPr>
              <w:t>4</w:t>
            </w:r>
            <w:r w:rsidR="0018767F" w:rsidRPr="00160F97">
              <w:rPr>
                <w:rFonts w:eastAsiaTheme="minorEastAsia"/>
                <w:sz w:val="24"/>
                <w:szCs w:val="24"/>
              </w:rPr>
              <w:t>.</w:t>
            </w:r>
            <w:r w:rsidR="0070228A">
              <w:rPr>
                <w:rFonts w:eastAsiaTheme="minorEastAsia"/>
                <w:sz w:val="24"/>
                <w:szCs w:val="24"/>
              </w:rPr>
              <w:t>2</w:t>
            </w:r>
            <w:r w:rsidR="00253875" w:rsidRPr="00160F97">
              <w:rPr>
                <w:rFonts w:eastAsiaTheme="minorEastAsia"/>
                <w:sz w:val="24"/>
                <w:szCs w:val="24"/>
              </w:rPr>
              <w:t>%</w:t>
            </w:r>
            <w:r w:rsidR="00377770" w:rsidRPr="00160F97">
              <w:rPr>
                <w:rFonts w:eastAsiaTheme="minorEastAsia"/>
                <w:sz w:val="24"/>
                <w:szCs w:val="24"/>
              </w:rPr>
              <w:t xml:space="preserve">. </w:t>
            </w:r>
            <w:r w:rsidR="00CB3330" w:rsidRPr="00160F97">
              <w:rPr>
                <w:rFonts w:eastAsiaTheme="minorEastAsia"/>
                <w:sz w:val="24"/>
                <w:szCs w:val="24"/>
              </w:rPr>
              <w:t>(</w:t>
            </w:r>
            <w:r w:rsidR="00377770" w:rsidRPr="00160F97">
              <w:rPr>
                <w:rFonts w:eastAsiaTheme="minorEastAsia"/>
                <w:sz w:val="24"/>
                <w:szCs w:val="24"/>
              </w:rPr>
              <w:t xml:space="preserve">England average is </w:t>
            </w:r>
            <w:r w:rsidR="001D4367" w:rsidRPr="00160F97">
              <w:rPr>
                <w:rFonts w:eastAsiaTheme="minorEastAsia"/>
                <w:sz w:val="24"/>
                <w:szCs w:val="24"/>
              </w:rPr>
              <w:t>23.5%)</w:t>
            </w:r>
          </w:p>
          <w:p w14:paraId="5417E1B8" w14:textId="77777777" w:rsidR="00160F97" w:rsidRPr="00160F97" w:rsidRDefault="00160F97" w:rsidP="00160F97">
            <w:pPr>
              <w:pStyle w:val="ListParagraph"/>
              <w:rPr>
                <w:rFonts w:eastAsiaTheme="minorEastAsia"/>
                <w:sz w:val="24"/>
                <w:szCs w:val="24"/>
              </w:rPr>
            </w:pPr>
          </w:p>
          <w:p w14:paraId="579EFF57" w14:textId="5C334E76" w:rsidR="00253875" w:rsidRDefault="005A34C3" w:rsidP="00425393">
            <w:pPr>
              <w:pStyle w:val="ListParagraph"/>
              <w:numPr>
                <w:ilvl w:val="1"/>
                <w:numId w:val="5"/>
              </w:numPr>
              <w:spacing w:line="278" w:lineRule="auto"/>
              <w:rPr>
                <w:rFonts w:eastAsiaTheme="minorEastAsia"/>
                <w:sz w:val="24"/>
                <w:szCs w:val="24"/>
              </w:rPr>
            </w:pPr>
            <w:r w:rsidRPr="00425393">
              <w:rPr>
                <w:rFonts w:eastAsiaTheme="minorEastAsia"/>
                <w:sz w:val="24"/>
                <w:szCs w:val="24"/>
              </w:rPr>
              <w:lastRenderedPageBreak/>
              <w:t>The preval</w:t>
            </w:r>
            <w:r w:rsidR="00860B27" w:rsidRPr="00425393">
              <w:rPr>
                <w:rFonts w:eastAsiaTheme="minorEastAsia"/>
                <w:sz w:val="24"/>
                <w:szCs w:val="24"/>
              </w:rPr>
              <w:t>ence of overweight (including obesity) 3-year a</w:t>
            </w:r>
            <w:r w:rsidR="00F76F79" w:rsidRPr="00425393">
              <w:rPr>
                <w:rFonts w:eastAsiaTheme="minorEastAsia"/>
                <w:sz w:val="24"/>
                <w:szCs w:val="24"/>
              </w:rPr>
              <w:t xml:space="preserve">ggregated data </w:t>
            </w:r>
            <w:r w:rsidR="00EE1570" w:rsidRPr="00425393">
              <w:rPr>
                <w:rFonts w:eastAsiaTheme="minorEastAsia"/>
                <w:sz w:val="24"/>
                <w:szCs w:val="24"/>
              </w:rPr>
              <w:t>(202</w:t>
            </w:r>
            <w:r w:rsidR="00F76F79" w:rsidRPr="00425393">
              <w:rPr>
                <w:rFonts w:eastAsiaTheme="minorEastAsia"/>
                <w:sz w:val="24"/>
                <w:szCs w:val="24"/>
              </w:rPr>
              <w:t>1/22 – 2023/</w:t>
            </w:r>
            <w:r w:rsidR="00EE1570" w:rsidRPr="00425393">
              <w:rPr>
                <w:rFonts w:eastAsiaTheme="minorEastAsia"/>
                <w:sz w:val="24"/>
                <w:szCs w:val="24"/>
              </w:rPr>
              <w:t>24)</w:t>
            </w:r>
            <w:r w:rsidR="00860B27" w:rsidRPr="00425393">
              <w:rPr>
                <w:rFonts w:eastAsiaTheme="minorEastAsia"/>
                <w:sz w:val="24"/>
                <w:szCs w:val="24"/>
              </w:rPr>
              <w:t xml:space="preserve"> for </w:t>
            </w:r>
            <w:r w:rsidR="005D7437" w:rsidRPr="00425393">
              <w:rPr>
                <w:rFonts w:eastAsiaTheme="minorEastAsia"/>
                <w:sz w:val="24"/>
                <w:szCs w:val="24"/>
              </w:rPr>
              <w:t>Year 6 children (</w:t>
            </w:r>
            <w:r w:rsidR="00253875" w:rsidRPr="00425393">
              <w:rPr>
                <w:rFonts w:eastAsiaTheme="minorEastAsia"/>
                <w:sz w:val="24"/>
                <w:szCs w:val="24"/>
              </w:rPr>
              <w:t>10-11 Year Olds</w:t>
            </w:r>
            <w:r w:rsidR="005D7437" w:rsidRPr="00425393">
              <w:rPr>
                <w:rFonts w:eastAsiaTheme="minorEastAsia"/>
                <w:sz w:val="24"/>
                <w:szCs w:val="24"/>
              </w:rPr>
              <w:t xml:space="preserve">) </w:t>
            </w:r>
            <w:proofErr w:type="gramStart"/>
            <w:r w:rsidR="00735645">
              <w:rPr>
                <w:rFonts w:eastAsiaTheme="minorEastAsia"/>
                <w:sz w:val="24"/>
                <w:szCs w:val="24"/>
              </w:rPr>
              <w:t>is</w:t>
            </w:r>
            <w:proofErr w:type="gramEnd"/>
            <w:r w:rsidR="00253875" w:rsidRPr="00425393">
              <w:rPr>
                <w:rFonts w:eastAsiaTheme="minorEastAsia"/>
                <w:sz w:val="24"/>
                <w:szCs w:val="24"/>
              </w:rPr>
              <w:t xml:space="preserve">: </w:t>
            </w:r>
            <w:r w:rsidR="00B51FFD">
              <w:rPr>
                <w:rFonts w:eastAsiaTheme="minorEastAsia"/>
                <w:sz w:val="24"/>
                <w:szCs w:val="24"/>
              </w:rPr>
              <w:t>44</w:t>
            </w:r>
            <w:r w:rsidR="005A799B">
              <w:rPr>
                <w:rFonts w:eastAsiaTheme="minorEastAsia"/>
                <w:sz w:val="24"/>
                <w:szCs w:val="24"/>
              </w:rPr>
              <w:t>.</w:t>
            </w:r>
            <w:r w:rsidR="00B51FFD">
              <w:rPr>
                <w:rFonts w:eastAsiaTheme="minorEastAsia"/>
                <w:sz w:val="24"/>
                <w:szCs w:val="24"/>
              </w:rPr>
              <w:t>7</w:t>
            </w:r>
            <w:r w:rsidR="00E5451F" w:rsidRPr="00425393">
              <w:rPr>
                <w:rFonts w:eastAsiaTheme="minorEastAsia"/>
                <w:sz w:val="24"/>
                <w:szCs w:val="24"/>
              </w:rPr>
              <w:t>%</w:t>
            </w:r>
            <w:r w:rsidR="001931BC" w:rsidRPr="00425393">
              <w:rPr>
                <w:rFonts w:eastAsiaTheme="minorEastAsia"/>
                <w:sz w:val="24"/>
                <w:szCs w:val="24"/>
              </w:rPr>
              <w:t xml:space="preserve"> </w:t>
            </w:r>
            <w:r w:rsidR="00D04DE9" w:rsidRPr="00425393">
              <w:rPr>
                <w:rFonts w:eastAsiaTheme="minorEastAsia"/>
                <w:sz w:val="24"/>
                <w:szCs w:val="24"/>
              </w:rPr>
              <w:t>(England average</w:t>
            </w:r>
            <w:r w:rsidR="00FB61E7" w:rsidRPr="00425393">
              <w:rPr>
                <w:rFonts w:eastAsiaTheme="minorEastAsia"/>
                <w:sz w:val="24"/>
                <w:szCs w:val="24"/>
              </w:rPr>
              <w:t xml:space="preserve"> 36.2%)</w:t>
            </w:r>
          </w:p>
          <w:p w14:paraId="34A79D4C" w14:textId="77777777" w:rsidR="001578B3" w:rsidRPr="001578B3" w:rsidRDefault="001578B3" w:rsidP="001578B3">
            <w:pPr>
              <w:pStyle w:val="ListParagraph"/>
              <w:rPr>
                <w:rFonts w:eastAsiaTheme="minorEastAsia"/>
                <w:sz w:val="24"/>
                <w:szCs w:val="24"/>
              </w:rPr>
            </w:pPr>
          </w:p>
          <w:p w14:paraId="5550AA70" w14:textId="77777777" w:rsidR="00273BF0" w:rsidRDefault="00273BF0" w:rsidP="00273BF0">
            <w:pPr>
              <w:pStyle w:val="Default"/>
            </w:pPr>
          </w:p>
          <w:p w14:paraId="12A77936" w14:textId="3834C4A2" w:rsidR="00273BF0" w:rsidRPr="00273BF0" w:rsidRDefault="00273BF0" w:rsidP="00273BF0">
            <w:pPr>
              <w:pStyle w:val="Default"/>
              <w:rPr>
                <w:rFonts w:asciiTheme="minorHAnsi" w:hAnsiTheme="minorHAnsi"/>
              </w:rPr>
            </w:pPr>
            <w:r w:rsidRPr="00273BF0">
              <w:rPr>
                <w:rFonts w:asciiTheme="minorHAnsi" w:hAnsiTheme="minorHAnsi"/>
              </w:rPr>
              <w:t>Children who are overweight or obese are more likely to be overweight or obese as adults, increasing their risk of preventable diseases such as type 2 diabetes, heart disease and some cancers</w:t>
            </w:r>
            <w:r w:rsidR="009D2CBE">
              <w:rPr>
                <w:rFonts w:asciiTheme="minorHAnsi" w:hAnsiTheme="minorHAnsi"/>
              </w:rPr>
              <w:t>.</w:t>
            </w:r>
            <w:r w:rsidRPr="00273BF0">
              <w:rPr>
                <w:rFonts w:asciiTheme="minorHAnsi" w:hAnsiTheme="minorHAnsi"/>
              </w:rPr>
              <w:t xml:space="preserve"> </w:t>
            </w:r>
          </w:p>
          <w:p w14:paraId="38074DFC" w14:textId="77777777" w:rsidR="00735645" w:rsidRPr="00110F49" w:rsidRDefault="00735645" w:rsidP="00735645">
            <w:pPr>
              <w:spacing w:after="160" w:line="278" w:lineRule="auto"/>
              <w:rPr>
                <w:rStyle w:val="normaltextrun"/>
                <w:rFonts w:ascii="Calibri Light" w:eastAsia="Calibri Light" w:hAnsi="Calibri Light" w:cs="Calibri Light"/>
                <w:color w:val="000000" w:themeColor="text1"/>
              </w:rPr>
            </w:pPr>
            <w:r>
              <w:rPr>
                <w:rFonts w:eastAsiaTheme="minorEastAsia"/>
                <w:sz w:val="24"/>
                <w:szCs w:val="24"/>
              </w:rPr>
              <w:t>Shaping our food environment is an important part of supporting healthier lifestyles.</w:t>
            </w:r>
          </w:p>
          <w:p w14:paraId="1BCD6AA6" w14:textId="39362A38" w:rsidR="00160F97" w:rsidRDefault="00160F97" w:rsidP="00160F97">
            <w:pPr>
              <w:rPr>
                <w:rFonts w:eastAsiaTheme="minorEastAsia"/>
                <w:sz w:val="24"/>
                <w:szCs w:val="24"/>
              </w:rPr>
            </w:pPr>
            <w:hyperlink r:id="rId11" w:history="1">
              <w:r w:rsidRPr="00785EF4">
                <w:rPr>
                  <w:rStyle w:val="Hyperlink"/>
                  <w:rFonts w:eastAsiaTheme="minorEastAsia"/>
                  <w:sz w:val="24"/>
                  <w:szCs w:val="24"/>
                </w:rPr>
                <w:t>Barnsley Councils Hot Food Takeaway Planning Advice Note (PAN)</w:t>
              </w:r>
            </w:hyperlink>
          </w:p>
          <w:p w14:paraId="32812F2F" w14:textId="77777777" w:rsidR="00160F97" w:rsidRPr="00206E9C" w:rsidRDefault="00160F97" w:rsidP="00160F97">
            <w:pPr>
              <w:rPr>
                <w:rFonts w:eastAsiaTheme="minorEastAsia"/>
                <w:sz w:val="24"/>
                <w:szCs w:val="24"/>
              </w:rPr>
            </w:pPr>
            <w:hyperlink r:id="rId12">
              <w:r w:rsidRPr="7ED99A1F">
                <w:rPr>
                  <w:rStyle w:val="Hyperlink"/>
                  <w:rFonts w:eastAsiaTheme="minorEastAsia"/>
                  <w:sz w:val="24"/>
                  <w:szCs w:val="24"/>
                </w:rPr>
                <w:t>Obesity, physical activity and nutrition | Fingertips | Department of Health and Social Care</w:t>
              </w:r>
            </w:hyperlink>
          </w:p>
          <w:p w14:paraId="1327645C" w14:textId="33C1A78F" w:rsidR="00BF7AA1" w:rsidRDefault="00BF7AA1" w:rsidP="007B68B2">
            <w:pPr>
              <w:spacing w:after="160" w:line="278" w:lineRule="auto"/>
              <w:ind w:left="1440"/>
            </w:pPr>
          </w:p>
          <w:p w14:paraId="23BC9164" w14:textId="3139A364" w:rsidR="00E459E6" w:rsidRDefault="00E459E6" w:rsidP="7ED99A1F">
            <w:pPr>
              <w:spacing w:after="160" w:line="278" w:lineRule="auto"/>
              <w:rPr>
                <w:rFonts w:eastAsiaTheme="minorEastAsia"/>
                <w:b/>
                <w:bCs/>
                <w:sz w:val="24"/>
                <w:szCs w:val="24"/>
              </w:rPr>
            </w:pPr>
            <w:r>
              <w:rPr>
                <w:rFonts w:eastAsiaTheme="minorEastAsia"/>
                <w:b/>
                <w:bCs/>
                <w:sz w:val="24"/>
                <w:szCs w:val="24"/>
              </w:rPr>
              <w:t>Proximity to Schools:</w:t>
            </w:r>
          </w:p>
          <w:p w14:paraId="0663C869" w14:textId="6D08E0BA" w:rsidR="00E459E6" w:rsidRPr="00373078" w:rsidRDefault="00E459E6" w:rsidP="00E459E6">
            <w:pPr>
              <w:pStyle w:val="ListParagraph"/>
              <w:numPr>
                <w:ilvl w:val="0"/>
                <w:numId w:val="12"/>
              </w:numPr>
              <w:spacing w:line="278" w:lineRule="auto"/>
              <w:rPr>
                <w:rFonts w:eastAsiaTheme="minorEastAsia"/>
                <w:b/>
                <w:bCs/>
                <w:sz w:val="24"/>
                <w:szCs w:val="24"/>
              </w:rPr>
            </w:pPr>
            <w:r w:rsidRPr="001C1263">
              <w:rPr>
                <w:rFonts w:eastAsiaTheme="minorEastAsia"/>
                <w:sz w:val="24"/>
                <w:szCs w:val="24"/>
              </w:rPr>
              <w:t>The Planning Advice Note recommends restricting the development of Hot Food Takeaways within a 400m radius o</w:t>
            </w:r>
            <w:r w:rsidR="00C449E9">
              <w:rPr>
                <w:rFonts w:eastAsiaTheme="minorEastAsia"/>
                <w:sz w:val="24"/>
                <w:szCs w:val="24"/>
              </w:rPr>
              <w:t>f</w:t>
            </w:r>
            <w:r w:rsidRPr="001C1263">
              <w:rPr>
                <w:rFonts w:eastAsiaTheme="minorEastAsia"/>
                <w:sz w:val="24"/>
                <w:szCs w:val="24"/>
              </w:rPr>
              <w:t xml:space="preserve"> schools to limit children’s exposure to unhealthy food options. </w:t>
            </w:r>
            <w:r w:rsidR="00382E70">
              <w:rPr>
                <w:rFonts w:eastAsiaTheme="minorEastAsia"/>
                <w:sz w:val="24"/>
                <w:szCs w:val="24"/>
              </w:rPr>
              <w:t>Brampton Ellis</w:t>
            </w:r>
            <w:r w:rsidR="00B86616">
              <w:rPr>
                <w:rFonts w:eastAsiaTheme="minorEastAsia"/>
                <w:sz w:val="24"/>
                <w:szCs w:val="24"/>
              </w:rPr>
              <w:t xml:space="preserve"> Primary School</w:t>
            </w:r>
            <w:r w:rsidR="007E0B54">
              <w:rPr>
                <w:rFonts w:eastAsiaTheme="minorEastAsia"/>
                <w:sz w:val="24"/>
                <w:szCs w:val="24"/>
              </w:rPr>
              <w:t xml:space="preserve">, </w:t>
            </w:r>
            <w:r w:rsidR="002A4977">
              <w:rPr>
                <w:rFonts w:eastAsiaTheme="minorEastAsia"/>
                <w:sz w:val="24"/>
                <w:szCs w:val="24"/>
              </w:rPr>
              <w:t>(</w:t>
            </w:r>
            <w:r w:rsidR="009D1D1D">
              <w:rPr>
                <w:rFonts w:eastAsiaTheme="minorEastAsia"/>
                <w:sz w:val="24"/>
                <w:szCs w:val="24"/>
              </w:rPr>
              <w:t>Brampton Road</w:t>
            </w:r>
            <w:r w:rsidR="007E0B54">
              <w:rPr>
                <w:rFonts w:eastAsiaTheme="minorEastAsia"/>
                <w:sz w:val="24"/>
                <w:szCs w:val="24"/>
              </w:rPr>
              <w:t xml:space="preserve">, </w:t>
            </w:r>
            <w:r w:rsidR="009D1D1D">
              <w:rPr>
                <w:rFonts w:eastAsiaTheme="minorEastAsia"/>
                <w:sz w:val="24"/>
                <w:szCs w:val="24"/>
              </w:rPr>
              <w:t xml:space="preserve">Wath upon Dearne, Rotherham, </w:t>
            </w:r>
            <w:r w:rsidR="00080BBF">
              <w:rPr>
                <w:rFonts w:eastAsiaTheme="minorEastAsia"/>
                <w:sz w:val="24"/>
                <w:szCs w:val="24"/>
              </w:rPr>
              <w:t>S</w:t>
            </w:r>
            <w:r w:rsidR="00AC7E1D">
              <w:rPr>
                <w:rFonts w:eastAsiaTheme="minorEastAsia"/>
                <w:sz w:val="24"/>
                <w:szCs w:val="24"/>
              </w:rPr>
              <w:t>63 6BB</w:t>
            </w:r>
            <w:r w:rsidR="00080BBF">
              <w:rPr>
                <w:rFonts w:eastAsiaTheme="minorEastAsia"/>
                <w:sz w:val="24"/>
                <w:szCs w:val="24"/>
              </w:rPr>
              <w:t>)</w:t>
            </w:r>
            <w:r w:rsidR="002A4977">
              <w:rPr>
                <w:rFonts w:eastAsiaTheme="minorEastAsia"/>
                <w:sz w:val="24"/>
                <w:szCs w:val="24"/>
              </w:rPr>
              <w:t xml:space="preserve"> falls within the specified threshold which constituents a significant </w:t>
            </w:r>
            <w:r w:rsidR="009E6E5D">
              <w:rPr>
                <w:rFonts w:eastAsiaTheme="minorEastAsia"/>
                <w:sz w:val="24"/>
                <w:szCs w:val="24"/>
              </w:rPr>
              <w:t>factor for consideration.</w:t>
            </w:r>
          </w:p>
          <w:p w14:paraId="1806444C" w14:textId="77777777" w:rsidR="00DC5146" w:rsidRPr="005C5E1C" w:rsidRDefault="00DC5146" w:rsidP="005C5E1C">
            <w:pPr>
              <w:spacing w:line="278" w:lineRule="auto"/>
              <w:rPr>
                <w:rFonts w:eastAsiaTheme="minorEastAsia"/>
                <w:b/>
                <w:bCs/>
                <w:sz w:val="24"/>
                <w:szCs w:val="24"/>
              </w:rPr>
            </w:pPr>
          </w:p>
          <w:p w14:paraId="04C8257E" w14:textId="77777777" w:rsidR="00A443D1" w:rsidRDefault="00A443D1" w:rsidP="00A443D1">
            <w:pPr>
              <w:pStyle w:val="paragraph"/>
              <w:spacing w:before="0" w:beforeAutospacing="0" w:after="0" w:afterAutospacing="0"/>
              <w:textAlignment w:val="baseline"/>
              <w:rPr>
                <w:rStyle w:val="eop"/>
                <w:rFonts w:ascii="Aptos" w:hAnsi="Aptos" w:cs="Segoe UI"/>
                <w:color w:val="000000"/>
                <w:bdr w:val="none" w:sz="0" w:space="0" w:color="auto" w:frame="1"/>
                <w:shd w:val="clear" w:color="auto" w:fill="C6C6C6"/>
              </w:rPr>
            </w:pPr>
            <w:r>
              <w:rPr>
                <w:rStyle w:val="normaltextrun"/>
                <w:rFonts w:ascii="Aptos" w:hAnsi="Aptos" w:cs="Segoe UI"/>
                <w:color w:val="000000"/>
              </w:rPr>
              <w:t>In conjunction with this, the National Planning Policy Framework states:</w:t>
            </w:r>
          </w:p>
          <w:p w14:paraId="0D531610" w14:textId="77777777" w:rsidR="00A443D1" w:rsidRDefault="00A443D1" w:rsidP="00A443D1">
            <w:pPr>
              <w:pStyle w:val="paragraph"/>
              <w:spacing w:before="0" w:beforeAutospacing="0" w:after="0" w:afterAutospacing="0"/>
              <w:textAlignment w:val="baseline"/>
              <w:rPr>
                <w:rFonts w:ascii="Segoe UI" w:hAnsi="Segoe UI" w:cs="Segoe UI"/>
                <w:sz w:val="18"/>
                <w:szCs w:val="18"/>
              </w:rPr>
            </w:pPr>
          </w:p>
          <w:p w14:paraId="47821BA2" w14:textId="77777777" w:rsidR="00A443D1" w:rsidRDefault="00A443D1" w:rsidP="00A443D1">
            <w:pPr>
              <w:pStyle w:val="paragraph"/>
              <w:spacing w:before="0" w:beforeAutospacing="0" w:after="0" w:afterAutospacing="0"/>
              <w:textAlignment w:val="baseline"/>
              <w:rPr>
                <w:rFonts w:ascii="Segoe UI" w:hAnsi="Segoe UI" w:cs="Segoe UI"/>
                <w:sz w:val="18"/>
                <w:szCs w:val="18"/>
              </w:rPr>
            </w:pPr>
            <w:r>
              <w:rPr>
                <w:rStyle w:val="superscript"/>
                <w:rFonts w:ascii="Aptos" w:hAnsi="Aptos" w:cs="Segoe UI"/>
                <w:color w:val="000000"/>
                <w:sz w:val="19"/>
                <w:szCs w:val="19"/>
                <w:vertAlign w:val="superscript"/>
              </w:rPr>
              <w:t>3</w:t>
            </w:r>
            <w:r>
              <w:rPr>
                <w:rStyle w:val="normaltextrun"/>
                <w:rFonts w:ascii="Aptos" w:hAnsi="Aptos" w:cs="Segoe UI"/>
                <w:i/>
                <w:iCs/>
                <w:color w:val="000000"/>
              </w:rPr>
              <w:t>Local planning authorities should refuse applications for hot food takeaways and fast-food outlets: </w:t>
            </w:r>
          </w:p>
          <w:p w14:paraId="656AFC0D" w14:textId="48AC408B" w:rsidR="00A443D1" w:rsidRDefault="00A443D1" w:rsidP="00A443D1">
            <w:pPr>
              <w:pStyle w:val="paragraph"/>
              <w:numPr>
                <w:ilvl w:val="0"/>
                <w:numId w:val="13"/>
              </w:numPr>
              <w:spacing w:before="0" w:beforeAutospacing="0" w:after="0" w:afterAutospacing="0"/>
              <w:ind w:left="1440" w:firstLine="0"/>
              <w:textAlignment w:val="baseline"/>
              <w:rPr>
                <w:rFonts w:ascii="Aptos" w:hAnsi="Aptos" w:cs="Segoe UI"/>
              </w:rPr>
            </w:pPr>
            <w:r>
              <w:rPr>
                <w:rStyle w:val="normaltextrun"/>
                <w:rFonts w:ascii="Aptos" w:hAnsi="Aptos" w:cs="Segoe UI"/>
                <w:i/>
                <w:iCs/>
                <w:color w:val="000000"/>
              </w:rPr>
              <w:t>Within walking distance of schools and other places where children and young people congregate, unless the location is within a designated town centre; or</w:t>
            </w:r>
          </w:p>
          <w:p w14:paraId="545475A2" w14:textId="1334FB73" w:rsidR="00A443D1" w:rsidRPr="00D31613" w:rsidRDefault="00A443D1" w:rsidP="00A443D1">
            <w:pPr>
              <w:pStyle w:val="paragraph"/>
              <w:numPr>
                <w:ilvl w:val="0"/>
                <w:numId w:val="14"/>
              </w:numPr>
              <w:spacing w:before="0" w:beforeAutospacing="0" w:after="0" w:afterAutospacing="0"/>
              <w:ind w:left="1440" w:firstLine="0"/>
              <w:textAlignment w:val="baseline"/>
              <w:rPr>
                <w:rStyle w:val="eop"/>
                <w:rFonts w:ascii="Aptos" w:hAnsi="Aptos" w:cs="Segoe UI"/>
              </w:rPr>
            </w:pPr>
            <w:r>
              <w:rPr>
                <w:rStyle w:val="normaltextrun"/>
                <w:rFonts w:ascii="Aptos" w:hAnsi="Aptos" w:cs="Segoe UI"/>
                <w:i/>
                <w:iCs/>
                <w:color w:val="000000"/>
              </w:rPr>
              <w:t>In locations where there is evidence that a concentration of such uses is having an adverse impact on local health, pollution or anti-social behaviour</w:t>
            </w:r>
          </w:p>
          <w:p w14:paraId="534F2368" w14:textId="77777777" w:rsidR="00A443D1" w:rsidRPr="000D4BC7" w:rsidRDefault="00A443D1" w:rsidP="7ED99A1F">
            <w:pPr>
              <w:spacing w:after="160" w:line="278" w:lineRule="auto"/>
              <w:rPr>
                <w:rFonts w:eastAsiaTheme="minorEastAsia"/>
                <w:sz w:val="24"/>
                <w:szCs w:val="24"/>
              </w:rPr>
            </w:pPr>
          </w:p>
          <w:p w14:paraId="7195065E" w14:textId="4376D4E7" w:rsidR="00253875" w:rsidRPr="00110F49" w:rsidRDefault="00253875" w:rsidP="7ED99A1F">
            <w:pPr>
              <w:spacing w:after="160" w:line="278" w:lineRule="auto"/>
              <w:rPr>
                <w:rFonts w:eastAsiaTheme="minorEastAsia"/>
                <w:b/>
                <w:bCs/>
                <w:sz w:val="24"/>
                <w:szCs w:val="24"/>
              </w:rPr>
            </w:pPr>
            <w:r w:rsidRPr="7ED99A1F">
              <w:rPr>
                <w:rFonts w:eastAsiaTheme="minorEastAsia"/>
                <w:b/>
                <w:bCs/>
                <w:sz w:val="24"/>
                <w:szCs w:val="24"/>
              </w:rPr>
              <w:t>Planning Guidance and Assessment</w:t>
            </w:r>
            <w:r w:rsidR="00DC5146">
              <w:rPr>
                <w:rFonts w:eastAsiaTheme="minorEastAsia"/>
                <w:b/>
                <w:bCs/>
                <w:sz w:val="24"/>
                <w:szCs w:val="24"/>
              </w:rPr>
              <w:t>:</w:t>
            </w:r>
          </w:p>
          <w:p w14:paraId="5BC024D0" w14:textId="5C903DBF" w:rsidR="005B299A" w:rsidRPr="0070715A" w:rsidRDefault="00253875" w:rsidP="0070715A">
            <w:pPr>
              <w:pStyle w:val="ListParagraph"/>
              <w:numPr>
                <w:ilvl w:val="0"/>
                <w:numId w:val="12"/>
              </w:numPr>
              <w:spacing w:line="278" w:lineRule="auto"/>
              <w:rPr>
                <w:rFonts w:eastAsiaTheme="minorEastAsia"/>
                <w:color w:val="EE0000"/>
                <w:sz w:val="24"/>
                <w:szCs w:val="24"/>
              </w:rPr>
            </w:pPr>
            <w:r w:rsidRPr="0070715A">
              <w:rPr>
                <w:rFonts w:eastAsiaTheme="minorEastAsia"/>
                <w:sz w:val="24"/>
                <w:szCs w:val="24"/>
              </w:rPr>
              <w:t xml:space="preserve">The NPPF </w:t>
            </w:r>
            <w:r w:rsidR="00BB589C" w:rsidRPr="0070715A">
              <w:rPr>
                <w:rFonts w:eastAsiaTheme="minorEastAsia"/>
                <w:sz w:val="24"/>
                <w:szCs w:val="24"/>
              </w:rPr>
              <w:t>states that “planning decisions should aim to achieve healthy, inclusive and safe places</w:t>
            </w:r>
            <w:r w:rsidR="005961C3" w:rsidRPr="0070715A">
              <w:rPr>
                <w:rFonts w:eastAsiaTheme="minorEastAsia"/>
                <w:sz w:val="24"/>
                <w:szCs w:val="24"/>
              </w:rPr>
              <w:t xml:space="preserve">: </w:t>
            </w:r>
            <w:r w:rsidR="00BB589C" w:rsidRPr="0070715A">
              <w:rPr>
                <w:rFonts w:eastAsiaTheme="minorEastAsia"/>
                <w:sz w:val="24"/>
                <w:szCs w:val="24"/>
              </w:rPr>
              <w:t>which enable</w:t>
            </w:r>
            <w:r w:rsidR="005961C3" w:rsidRPr="0070715A">
              <w:rPr>
                <w:rFonts w:eastAsiaTheme="minorEastAsia"/>
                <w:sz w:val="24"/>
                <w:szCs w:val="24"/>
              </w:rPr>
              <w:t xml:space="preserve"> and support healthy lifestyles” Proposals for hot food</w:t>
            </w:r>
            <w:r w:rsidRPr="0070715A">
              <w:rPr>
                <w:rFonts w:eastAsiaTheme="minorEastAsia"/>
                <w:sz w:val="24"/>
                <w:szCs w:val="24"/>
              </w:rPr>
              <w:t xml:space="preserve"> takeaways </w:t>
            </w:r>
            <w:r w:rsidR="005961C3" w:rsidRPr="0070715A">
              <w:rPr>
                <w:rFonts w:eastAsiaTheme="minorEastAsia"/>
                <w:sz w:val="24"/>
                <w:szCs w:val="24"/>
              </w:rPr>
              <w:t>with</w:t>
            </w:r>
            <w:r w:rsidRPr="0070715A">
              <w:rPr>
                <w:rFonts w:eastAsiaTheme="minorEastAsia"/>
                <w:sz w:val="24"/>
                <w:szCs w:val="24"/>
              </w:rPr>
              <w:t xml:space="preserve">in </w:t>
            </w:r>
            <w:r w:rsidR="005961C3" w:rsidRPr="0070715A">
              <w:rPr>
                <w:rFonts w:eastAsiaTheme="minorEastAsia"/>
                <w:sz w:val="24"/>
                <w:szCs w:val="24"/>
              </w:rPr>
              <w:t xml:space="preserve">electoral </w:t>
            </w:r>
            <w:r w:rsidRPr="0070715A">
              <w:rPr>
                <w:rFonts w:eastAsiaTheme="minorEastAsia"/>
                <w:sz w:val="24"/>
                <w:szCs w:val="24"/>
              </w:rPr>
              <w:t>ward</w:t>
            </w:r>
            <w:r w:rsidR="005961C3" w:rsidRPr="0070715A">
              <w:rPr>
                <w:rFonts w:eastAsiaTheme="minorEastAsia"/>
                <w:sz w:val="24"/>
                <w:szCs w:val="24"/>
              </w:rPr>
              <w:t xml:space="preserve"> where the proportion</w:t>
            </w:r>
            <w:r w:rsidRPr="0070715A">
              <w:rPr>
                <w:rFonts w:eastAsiaTheme="minorEastAsia"/>
                <w:sz w:val="24"/>
                <w:szCs w:val="24"/>
              </w:rPr>
              <w:t xml:space="preserve"> </w:t>
            </w:r>
            <w:r w:rsidR="005961C3" w:rsidRPr="0070715A">
              <w:rPr>
                <w:rFonts w:eastAsiaTheme="minorEastAsia"/>
                <w:sz w:val="24"/>
                <w:szCs w:val="24"/>
              </w:rPr>
              <w:t xml:space="preserve">of children 10 to 11- years classified as overweight (including obesity) is more than </w:t>
            </w:r>
            <w:r w:rsidR="004540A7" w:rsidRPr="0070715A">
              <w:rPr>
                <w:rFonts w:eastAsiaTheme="minorEastAsia"/>
                <w:sz w:val="24"/>
                <w:szCs w:val="24"/>
              </w:rPr>
              <w:t>40%</w:t>
            </w:r>
            <w:r w:rsidR="005961C3" w:rsidRPr="0070715A">
              <w:rPr>
                <w:rFonts w:eastAsiaTheme="minorEastAsia"/>
                <w:color w:val="EE0000"/>
                <w:sz w:val="24"/>
                <w:szCs w:val="24"/>
              </w:rPr>
              <w:t xml:space="preserve"> </w:t>
            </w:r>
            <w:r w:rsidRPr="0070715A">
              <w:rPr>
                <w:rFonts w:eastAsiaTheme="minorEastAsia"/>
                <w:sz w:val="24"/>
                <w:szCs w:val="24"/>
              </w:rPr>
              <w:t>are likely to conflict with th</w:t>
            </w:r>
            <w:r w:rsidR="005961C3" w:rsidRPr="0070715A">
              <w:rPr>
                <w:rFonts w:eastAsiaTheme="minorEastAsia"/>
                <w:sz w:val="24"/>
                <w:szCs w:val="24"/>
              </w:rPr>
              <w:t>is part of the NPPF.</w:t>
            </w:r>
            <w:r w:rsidRPr="0070715A">
              <w:rPr>
                <w:rFonts w:eastAsiaTheme="minorEastAsia"/>
                <w:sz w:val="24"/>
                <w:szCs w:val="24"/>
              </w:rPr>
              <w:t xml:space="preserve"> </w:t>
            </w:r>
            <w:r w:rsidR="005B299A" w:rsidRPr="0070715A">
              <w:rPr>
                <w:rFonts w:eastAsiaTheme="minorEastAsia"/>
                <w:sz w:val="24"/>
                <w:szCs w:val="24"/>
              </w:rPr>
              <w:t>The prevalence of overweight (including obesity) 3-year a</w:t>
            </w:r>
            <w:r w:rsidR="004540A7" w:rsidRPr="0070715A">
              <w:rPr>
                <w:rFonts w:eastAsiaTheme="minorEastAsia"/>
                <w:sz w:val="24"/>
                <w:szCs w:val="24"/>
              </w:rPr>
              <w:t>ggregated data</w:t>
            </w:r>
            <w:r w:rsidR="00664714" w:rsidRPr="0070715A">
              <w:rPr>
                <w:rFonts w:eastAsiaTheme="minorEastAsia"/>
                <w:sz w:val="24"/>
                <w:szCs w:val="24"/>
              </w:rPr>
              <w:t xml:space="preserve"> (202</w:t>
            </w:r>
            <w:r w:rsidR="004540A7" w:rsidRPr="0070715A">
              <w:rPr>
                <w:rFonts w:eastAsiaTheme="minorEastAsia"/>
                <w:sz w:val="24"/>
                <w:szCs w:val="24"/>
              </w:rPr>
              <w:t xml:space="preserve">1/22 </w:t>
            </w:r>
            <w:r w:rsidR="00160F97" w:rsidRPr="0070715A">
              <w:rPr>
                <w:rFonts w:eastAsiaTheme="minorEastAsia"/>
                <w:sz w:val="24"/>
                <w:szCs w:val="24"/>
              </w:rPr>
              <w:t>–</w:t>
            </w:r>
            <w:r w:rsidR="004540A7" w:rsidRPr="0070715A">
              <w:rPr>
                <w:rFonts w:eastAsiaTheme="minorEastAsia"/>
                <w:sz w:val="24"/>
                <w:szCs w:val="24"/>
              </w:rPr>
              <w:t xml:space="preserve"> </w:t>
            </w:r>
            <w:r w:rsidR="00160F97" w:rsidRPr="0070715A">
              <w:rPr>
                <w:rFonts w:eastAsiaTheme="minorEastAsia"/>
                <w:sz w:val="24"/>
                <w:szCs w:val="24"/>
              </w:rPr>
              <w:t>2023/</w:t>
            </w:r>
            <w:r w:rsidR="00664714" w:rsidRPr="0070715A">
              <w:rPr>
                <w:rFonts w:eastAsiaTheme="minorEastAsia"/>
                <w:sz w:val="24"/>
                <w:szCs w:val="24"/>
              </w:rPr>
              <w:t>24)</w:t>
            </w:r>
            <w:r w:rsidR="005B299A" w:rsidRPr="0070715A">
              <w:rPr>
                <w:rFonts w:eastAsiaTheme="minorEastAsia"/>
                <w:sz w:val="24"/>
                <w:szCs w:val="24"/>
              </w:rPr>
              <w:t xml:space="preserve"> for Year 6 children (10-11 Year Olds) </w:t>
            </w:r>
            <w:proofErr w:type="gramStart"/>
            <w:r w:rsidR="005B299A" w:rsidRPr="0070715A">
              <w:rPr>
                <w:rFonts w:eastAsiaTheme="minorEastAsia"/>
                <w:sz w:val="24"/>
                <w:szCs w:val="24"/>
              </w:rPr>
              <w:t>is</w:t>
            </w:r>
            <w:proofErr w:type="gramEnd"/>
            <w:r w:rsidR="005B299A" w:rsidRPr="0070715A">
              <w:rPr>
                <w:rFonts w:eastAsiaTheme="minorEastAsia"/>
                <w:sz w:val="24"/>
                <w:szCs w:val="24"/>
              </w:rPr>
              <w:t xml:space="preserve">: </w:t>
            </w:r>
            <w:r w:rsidR="00713A8E">
              <w:rPr>
                <w:rFonts w:eastAsiaTheme="minorEastAsia"/>
                <w:sz w:val="24"/>
                <w:szCs w:val="24"/>
              </w:rPr>
              <w:t>44.7</w:t>
            </w:r>
            <w:r w:rsidR="005B299A" w:rsidRPr="0070715A">
              <w:rPr>
                <w:rFonts w:eastAsiaTheme="minorEastAsia"/>
                <w:sz w:val="24"/>
                <w:szCs w:val="24"/>
              </w:rPr>
              <w:t>%</w:t>
            </w:r>
            <w:r w:rsidR="00160F97" w:rsidRPr="0070715A">
              <w:rPr>
                <w:rFonts w:eastAsiaTheme="minorEastAsia"/>
                <w:sz w:val="24"/>
                <w:szCs w:val="24"/>
              </w:rPr>
              <w:t>.</w:t>
            </w:r>
            <w:r w:rsidR="005B299A" w:rsidRPr="0070715A">
              <w:rPr>
                <w:rFonts w:eastAsiaTheme="minorEastAsia"/>
                <w:sz w:val="24"/>
                <w:szCs w:val="24"/>
              </w:rPr>
              <w:t xml:space="preserve"> </w:t>
            </w:r>
          </w:p>
          <w:p w14:paraId="607A8D95" w14:textId="77777777" w:rsidR="008F057F" w:rsidRPr="007B5008" w:rsidRDefault="008F057F" w:rsidP="00A1387E">
            <w:pPr>
              <w:spacing w:after="160" w:line="278" w:lineRule="auto"/>
              <w:ind w:left="360"/>
              <w:rPr>
                <w:rFonts w:eastAsiaTheme="minorEastAsia"/>
                <w:color w:val="EE0000"/>
                <w:sz w:val="24"/>
                <w:szCs w:val="24"/>
              </w:rPr>
            </w:pPr>
          </w:p>
          <w:p w14:paraId="697E1829" w14:textId="75511A7C" w:rsidR="00253875" w:rsidRPr="00402ABB" w:rsidRDefault="00253875" w:rsidP="00C10026">
            <w:pPr>
              <w:spacing w:after="160" w:line="276" w:lineRule="auto"/>
              <w:ind w:left="720"/>
              <w:rPr>
                <w:rFonts w:eastAsiaTheme="minorEastAsia"/>
                <w:b/>
                <w:bCs/>
                <w:sz w:val="24"/>
                <w:szCs w:val="24"/>
              </w:rPr>
            </w:pPr>
          </w:p>
          <w:p w14:paraId="3079EA7C" w14:textId="62F6995D" w:rsidR="00253875" w:rsidRPr="00206E9C" w:rsidRDefault="3E8F89DC" w:rsidP="7ED99A1F">
            <w:pPr>
              <w:spacing w:after="160" w:line="276" w:lineRule="auto"/>
              <w:rPr>
                <w:rFonts w:eastAsiaTheme="minorEastAsia"/>
                <w:b/>
                <w:bCs/>
                <w:sz w:val="24"/>
                <w:szCs w:val="24"/>
              </w:rPr>
            </w:pPr>
            <w:r w:rsidRPr="7ED99A1F">
              <w:rPr>
                <w:rFonts w:eastAsiaTheme="minorEastAsia"/>
                <w:b/>
                <w:bCs/>
                <w:sz w:val="24"/>
                <w:szCs w:val="24"/>
              </w:rPr>
              <w:t>Conclusion</w:t>
            </w:r>
          </w:p>
          <w:p w14:paraId="4420401C" w14:textId="4410714C" w:rsidR="00DC5146" w:rsidRDefault="3E8F89DC" w:rsidP="2EEDFB42">
            <w:pPr>
              <w:spacing w:after="160" w:line="276" w:lineRule="auto"/>
              <w:rPr>
                <w:rFonts w:eastAsiaTheme="minorEastAsia"/>
                <w:sz w:val="24"/>
                <w:szCs w:val="24"/>
              </w:rPr>
            </w:pPr>
            <w:r w:rsidRPr="2EEDFB42">
              <w:rPr>
                <w:rFonts w:eastAsiaTheme="minorEastAsia"/>
                <w:sz w:val="24"/>
                <w:szCs w:val="24"/>
              </w:rPr>
              <w:t xml:space="preserve">Public Health recommends that the planning application for a new hot food takeaway in </w:t>
            </w:r>
            <w:r w:rsidR="00582311">
              <w:rPr>
                <w:rFonts w:eastAsiaTheme="minorEastAsia"/>
                <w:sz w:val="24"/>
                <w:szCs w:val="24"/>
              </w:rPr>
              <w:t xml:space="preserve">the Wombwell </w:t>
            </w:r>
            <w:r w:rsidR="00C22827">
              <w:rPr>
                <w:rFonts w:eastAsiaTheme="minorEastAsia"/>
                <w:sz w:val="24"/>
                <w:szCs w:val="24"/>
              </w:rPr>
              <w:t>Ward</w:t>
            </w:r>
            <w:r w:rsidRPr="2EEDFB42">
              <w:rPr>
                <w:rFonts w:eastAsiaTheme="minorEastAsia"/>
                <w:sz w:val="24"/>
                <w:szCs w:val="24"/>
              </w:rPr>
              <w:t xml:space="preserve"> is </w:t>
            </w:r>
            <w:r w:rsidR="400443F4" w:rsidRPr="2EEDFB42">
              <w:rPr>
                <w:rFonts w:eastAsiaTheme="minorEastAsia"/>
                <w:sz w:val="24"/>
                <w:szCs w:val="24"/>
              </w:rPr>
              <w:t>refused</w:t>
            </w:r>
            <w:r w:rsidR="00DF2416" w:rsidRPr="2EEDFB42">
              <w:rPr>
                <w:rFonts w:eastAsiaTheme="minorEastAsia"/>
                <w:sz w:val="24"/>
                <w:szCs w:val="24"/>
              </w:rPr>
              <w:t>,</w:t>
            </w:r>
            <w:r w:rsidRPr="2EEDFB42">
              <w:rPr>
                <w:rFonts w:eastAsiaTheme="minorEastAsia"/>
                <w:sz w:val="24"/>
                <w:szCs w:val="24"/>
              </w:rPr>
              <w:t xml:space="preserve"> </w:t>
            </w:r>
            <w:r w:rsidR="00DF2416" w:rsidRPr="2EEDFB42">
              <w:rPr>
                <w:rFonts w:eastAsiaTheme="minorEastAsia"/>
                <w:sz w:val="24"/>
                <w:szCs w:val="24"/>
              </w:rPr>
              <w:t>considering</w:t>
            </w:r>
            <w:r w:rsidRPr="2EEDFB42">
              <w:rPr>
                <w:rFonts w:eastAsiaTheme="minorEastAsia"/>
                <w:sz w:val="24"/>
                <w:szCs w:val="24"/>
              </w:rPr>
              <w:t xml:space="preserve"> the above evidence and guidance. The proposal is likely to conflict with both national and local policies aimed at promoting healthy environments and reducing obesity, particularly among children. </w:t>
            </w:r>
          </w:p>
          <w:p w14:paraId="33D50322" w14:textId="35BD8EE9" w:rsidR="000D28E7" w:rsidRPr="00206E9C" w:rsidRDefault="3E8F89DC" w:rsidP="2EEDFB42">
            <w:pPr>
              <w:spacing w:after="160" w:line="276" w:lineRule="auto"/>
              <w:rPr>
                <w:rFonts w:eastAsiaTheme="minorEastAsia"/>
                <w:sz w:val="24"/>
                <w:szCs w:val="24"/>
              </w:rPr>
            </w:pPr>
            <w:r w:rsidRPr="2EEDFB42">
              <w:rPr>
                <w:rFonts w:eastAsiaTheme="minorEastAsia"/>
                <w:sz w:val="24"/>
                <w:szCs w:val="24"/>
              </w:rPr>
              <w:t>We advise that the application is refused unless the applicant can demonstrate substantial mitigation of health impacts and alignment with the Council’s health and wellbeing objectives.</w:t>
            </w:r>
            <w:r w:rsidR="00FC64EB" w:rsidRPr="2EEDFB42">
              <w:rPr>
                <w:rFonts w:eastAsiaTheme="minorEastAsia"/>
                <w:sz w:val="24"/>
                <w:szCs w:val="24"/>
              </w:rPr>
              <w:t xml:space="preserve"> This should be </w:t>
            </w:r>
            <w:r w:rsidR="00757C5A" w:rsidRPr="2EEDFB42">
              <w:rPr>
                <w:rFonts w:eastAsiaTheme="minorEastAsia"/>
                <w:sz w:val="24"/>
                <w:szCs w:val="24"/>
              </w:rPr>
              <w:t>demonstrated</w:t>
            </w:r>
            <w:r w:rsidR="00FC64EB" w:rsidRPr="2EEDFB42">
              <w:rPr>
                <w:rFonts w:eastAsiaTheme="minorEastAsia"/>
                <w:sz w:val="24"/>
                <w:szCs w:val="24"/>
              </w:rPr>
              <w:t xml:space="preserve"> through the completion of a full </w:t>
            </w:r>
            <w:r w:rsidR="00750CD2" w:rsidRPr="2EEDFB42">
              <w:rPr>
                <w:rFonts w:eastAsiaTheme="minorEastAsia"/>
                <w:sz w:val="24"/>
                <w:szCs w:val="24"/>
              </w:rPr>
              <w:t>Health Impact Assessment as set out in the PAN</w:t>
            </w:r>
            <w:r w:rsidR="7D4C2ED6" w:rsidRPr="2EEDFB42">
              <w:rPr>
                <w:rFonts w:eastAsiaTheme="minorEastAsia"/>
                <w:sz w:val="24"/>
                <w:szCs w:val="24"/>
              </w:rPr>
              <w:t xml:space="preserve">. </w:t>
            </w:r>
          </w:p>
          <w:p w14:paraId="00BBFB96" w14:textId="2C468FC6" w:rsidR="008F61C9" w:rsidRPr="00206E9C" w:rsidRDefault="3E8F89DC" w:rsidP="7ED99A1F">
            <w:pPr>
              <w:spacing w:after="160" w:line="276" w:lineRule="auto"/>
              <w:rPr>
                <w:rFonts w:eastAsiaTheme="minorEastAsia"/>
                <w:sz w:val="24"/>
                <w:szCs w:val="24"/>
              </w:rPr>
            </w:pPr>
            <w:r w:rsidRPr="7ED99A1F">
              <w:rPr>
                <w:rFonts w:eastAsiaTheme="minorEastAsia"/>
                <w:sz w:val="24"/>
                <w:szCs w:val="24"/>
              </w:rPr>
              <w:t>If further information or clarification is required, please contact Public Health for additional data or guidance</w:t>
            </w:r>
            <w:r w:rsidR="00750CD2">
              <w:rPr>
                <w:rFonts w:eastAsiaTheme="minorEastAsia"/>
                <w:sz w:val="24"/>
                <w:szCs w:val="24"/>
              </w:rPr>
              <w:t xml:space="preserve"> </w:t>
            </w:r>
          </w:p>
          <w:p w14:paraId="39D2AD33" w14:textId="793A1F18" w:rsidR="008F61C9" w:rsidRPr="00206E9C" w:rsidRDefault="008F61C9" w:rsidP="7ED99A1F">
            <w:pPr>
              <w:rPr>
                <w:rFonts w:eastAsiaTheme="minorEastAsia"/>
                <w:color w:val="000000" w:themeColor="text1"/>
                <w:sz w:val="24"/>
                <w:szCs w:val="24"/>
                <w:u w:val="single"/>
              </w:rPr>
            </w:pPr>
          </w:p>
          <w:p w14:paraId="77251D5E" w14:textId="7DB29C8E" w:rsidR="00206E9C" w:rsidRPr="00206E9C" w:rsidRDefault="46183E7D" w:rsidP="7ED99A1F">
            <w:pPr>
              <w:rPr>
                <w:rFonts w:eastAsiaTheme="minorEastAsia"/>
                <w:color w:val="000000" w:themeColor="text1"/>
                <w:sz w:val="24"/>
                <w:szCs w:val="24"/>
                <w:u w:val="single"/>
              </w:rPr>
            </w:pPr>
            <w:r w:rsidRPr="7ED99A1F">
              <w:rPr>
                <w:rFonts w:eastAsiaTheme="minorEastAsia"/>
                <w:color w:val="000000" w:themeColor="text1"/>
                <w:sz w:val="24"/>
                <w:szCs w:val="24"/>
                <w:u w:val="single"/>
              </w:rPr>
              <w:t xml:space="preserve">References </w:t>
            </w:r>
          </w:p>
          <w:p w14:paraId="132D4FD8" w14:textId="2350FA84" w:rsidR="00206E9C" w:rsidRPr="00206E9C" w:rsidRDefault="25CF76AF" w:rsidP="7ED99A1F">
            <w:pPr>
              <w:rPr>
                <w:rFonts w:eastAsiaTheme="minorEastAsia"/>
                <w:sz w:val="24"/>
                <w:szCs w:val="24"/>
              </w:rPr>
            </w:pPr>
            <w:hyperlink r:id="rId13">
              <w:r w:rsidRPr="7ED99A1F">
                <w:rPr>
                  <w:rStyle w:val="Hyperlink"/>
                  <w:rFonts w:eastAsiaTheme="minorEastAsia"/>
                  <w:sz w:val="24"/>
                  <w:szCs w:val="24"/>
                </w:rPr>
                <w:t>National Planning Policy Framework - GOV.UK</w:t>
              </w:r>
            </w:hyperlink>
          </w:p>
          <w:p w14:paraId="4EF29827" w14:textId="1326B579" w:rsidR="00206E9C" w:rsidRPr="00206E9C" w:rsidRDefault="008F4C09" w:rsidP="7ED99A1F">
            <w:pPr>
              <w:rPr>
                <w:rFonts w:eastAsiaTheme="minorEastAsia"/>
                <w:sz w:val="24"/>
                <w:szCs w:val="24"/>
              </w:rPr>
            </w:pPr>
            <w:hyperlink r:id="rId14" w:history="1">
              <w:r w:rsidRPr="00437B5D">
                <w:rPr>
                  <w:rStyle w:val="Hyperlink"/>
                  <w:rFonts w:eastAsiaTheme="minorEastAsia"/>
                  <w:sz w:val="24"/>
                  <w:szCs w:val="24"/>
                </w:rPr>
                <w:t xml:space="preserve">Barnsley Councils </w:t>
              </w:r>
              <w:r w:rsidR="4770AA2E" w:rsidRPr="00437B5D">
                <w:rPr>
                  <w:rStyle w:val="Hyperlink"/>
                  <w:rFonts w:eastAsiaTheme="minorEastAsia"/>
                  <w:sz w:val="24"/>
                  <w:szCs w:val="24"/>
                </w:rPr>
                <w:t>Hot Food Takeaway Supplementary Planning Document (SPD)</w:t>
              </w:r>
            </w:hyperlink>
          </w:p>
          <w:p w14:paraId="35A93152" w14:textId="385B23D7" w:rsidR="00206E9C" w:rsidRDefault="008F4C09" w:rsidP="7ED99A1F">
            <w:pPr>
              <w:rPr>
                <w:rFonts w:eastAsiaTheme="minorEastAsia"/>
                <w:sz w:val="24"/>
                <w:szCs w:val="24"/>
              </w:rPr>
            </w:pPr>
            <w:hyperlink r:id="rId15" w:history="1">
              <w:r w:rsidRPr="00785EF4">
                <w:rPr>
                  <w:rStyle w:val="Hyperlink"/>
                  <w:rFonts w:eastAsiaTheme="minorEastAsia"/>
                  <w:sz w:val="24"/>
                  <w:szCs w:val="24"/>
                </w:rPr>
                <w:t xml:space="preserve">Barnsley Councils </w:t>
              </w:r>
              <w:r w:rsidR="4770AA2E" w:rsidRPr="00785EF4">
                <w:rPr>
                  <w:rStyle w:val="Hyperlink"/>
                  <w:rFonts w:eastAsiaTheme="minorEastAsia"/>
                  <w:sz w:val="24"/>
                  <w:szCs w:val="24"/>
                </w:rPr>
                <w:t>Hot Food Takeaway Planning Advice Note (PAN)</w:t>
              </w:r>
            </w:hyperlink>
          </w:p>
          <w:p w14:paraId="326BFCAF" w14:textId="2A151AD4" w:rsidR="006A4DA6" w:rsidRPr="00206E9C" w:rsidRDefault="006A4DA6" w:rsidP="7ED99A1F">
            <w:pPr>
              <w:rPr>
                <w:rFonts w:eastAsiaTheme="minorEastAsia"/>
                <w:sz w:val="24"/>
                <w:szCs w:val="24"/>
              </w:rPr>
            </w:pPr>
            <w:hyperlink r:id="rId16">
              <w:r w:rsidRPr="7ED99A1F">
                <w:rPr>
                  <w:rStyle w:val="Hyperlink"/>
                  <w:rFonts w:eastAsiaTheme="minorEastAsia"/>
                  <w:sz w:val="24"/>
                  <w:szCs w:val="24"/>
                </w:rPr>
                <w:t>Obesity, physical activity and nutrition | Fingertips | Department of Health and Social Care</w:t>
              </w:r>
            </w:hyperlink>
          </w:p>
          <w:p w14:paraId="1C73FE8D" w14:textId="59FE1206" w:rsidR="00206E9C" w:rsidRPr="00206E9C" w:rsidRDefault="00206E9C" w:rsidP="6C2B025B">
            <w:pPr>
              <w:rPr>
                <w:rFonts w:ascii="Aptos" w:eastAsia="Aptos" w:hAnsi="Aptos" w:cs="Aptos"/>
                <w:color w:val="000000" w:themeColor="text1"/>
                <w:u w:val="single"/>
              </w:rPr>
            </w:pPr>
          </w:p>
          <w:p w14:paraId="20737F90" w14:textId="77777777" w:rsidR="00206E9C" w:rsidRDefault="00206E9C" w:rsidP="00DB40D2">
            <w:pPr>
              <w:rPr>
                <w:rFonts w:ascii="Arial" w:hAnsi="Arial" w:cs="Arial"/>
                <w:sz w:val="28"/>
                <w:szCs w:val="28"/>
              </w:rPr>
            </w:pPr>
          </w:p>
        </w:tc>
      </w:tr>
      <w:tr w:rsidR="00B854B2" w14:paraId="2A4FC3FF" w14:textId="77777777" w:rsidTr="2EEDFB42">
        <w:tc>
          <w:tcPr>
            <w:tcW w:w="3005" w:type="dxa"/>
          </w:tcPr>
          <w:p w14:paraId="19FAABD6" w14:textId="2D686855" w:rsidR="00B854B2" w:rsidRPr="00DB40D2" w:rsidRDefault="00B854B2" w:rsidP="00206E9C">
            <w:pPr>
              <w:rPr>
                <w:rFonts w:ascii="Arial" w:hAnsi="Arial" w:cs="Arial"/>
                <w:b/>
                <w:bCs/>
                <w:strike/>
                <w:sz w:val="20"/>
                <w:szCs w:val="20"/>
              </w:rPr>
            </w:pPr>
          </w:p>
        </w:tc>
        <w:tc>
          <w:tcPr>
            <w:tcW w:w="3005" w:type="dxa"/>
          </w:tcPr>
          <w:p w14:paraId="409EE3EB" w14:textId="197743F9" w:rsidR="00B854B2" w:rsidRPr="00DB40D2" w:rsidRDefault="00B854B2" w:rsidP="00206E9C">
            <w:pPr>
              <w:rPr>
                <w:rFonts w:ascii="Arial" w:hAnsi="Arial" w:cs="Arial"/>
                <w:b/>
                <w:bCs/>
                <w:strike/>
                <w:sz w:val="20"/>
                <w:szCs w:val="20"/>
              </w:rPr>
            </w:pPr>
          </w:p>
        </w:tc>
        <w:tc>
          <w:tcPr>
            <w:tcW w:w="3006" w:type="dxa"/>
          </w:tcPr>
          <w:p w14:paraId="75F74645" w14:textId="0F7758B0" w:rsidR="00B854B2" w:rsidRPr="00DE28AD" w:rsidRDefault="00BC188D" w:rsidP="00206E9C">
            <w:pPr>
              <w:rPr>
                <w:rFonts w:ascii="Arial" w:hAnsi="Arial" w:cs="Arial"/>
                <w:b/>
                <w:bCs/>
                <w:sz w:val="20"/>
                <w:szCs w:val="20"/>
              </w:rPr>
            </w:pPr>
            <w:r w:rsidRPr="00DE28AD">
              <w:rPr>
                <w:rFonts w:ascii="Arial" w:hAnsi="Arial" w:cs="Arial"/>
                <w:b/>
                <w:bCs/>
                <w:sz w:val="20"/>
                <w:szCs w:val="20"/>
              </w:rPr>
              <w:t>OBJECT</w:t>
            </w:r>
          </w:p>
        </w:tc>
      </w:tr>
      <w:tr w:rsidR="00EB0947" w14:paraId="4150E987" w14:textId="77777777" w:rsidTr="2EEDFB42">
        <w:tc>
          <w:tcPr>
            <w:tcW w:w="9016" w:type="dxa"/>
            <w:gridSpan w:val="3"/>
          </w:tcPr>
          <w:p w14:paraId="020CD4EB" w14:textId="70921860" w:rsidR="00EB0947" w:rsidRPr="00DE28AD" w:rsidRDefault="00EB0947" w:rsidP="00EB0947">
            <w:pPr>
              <w:rPr>
                <w:rFonts w:ascii="Arial" w:hAnsi="Arial" w:cs="Arial"/>
                <w:sz w:val="20"/>
                <w:szCs w:val="20"/>
              </w:rPr>
            </w:pPr>
          </w:p>
        </w:tc>
      </w:tr>
      <w:tr w:rsidR="00206E9C" w14:paraId="0726349A" w14:textId="77777777" w:rsidTr="2EEDFB42">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2EEDFB42">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4F8A1616" w14:textId="77777777" w:rsidR="00206E9C" w:rsidRDefault="00206E9C" w:rsidP="00206E9C">
            <w:pPr>
              <w:rPr>
                <w:rFonts w:ascii="Arial" w:hAnsi="Arial" w:cs="Arial"/>
                <w:sz w:val="20"/>
                <w:szCs w:val="20"/>
              </w:rPr>
            </w:pPr>
          </w:p>
          <w:p w14:paraId="27595B39"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2EEDFB42">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8B15" w14:textId="77777777" w:rsidR="002E1498" w:rsidRDefault="002E1498" w:rsidP="00A2301D">
      <w:pPr>
        <w:spacing w:after="0" w:line="240" w:lineRule="auto"/>
      </w:pPr>
      <w:r>
        <w:separator/>
      </w:r>
    </w:p>
  </w:endnote>
  <w:endnote w:type="continuationSeparator" w:id="0">
    <w:p w14:paraId="0F499587" w14:textId="77777777" w:rsidR="002E1498" w:rsidRDefault="002E1498"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2178" w14:textId="6B203711" w:rsidR="00D67A76" w:rsidRDefault="00D67A76">
    <w:pPr>
      <w:pStyle w:val="Footer"/>
    </w:pPr>
    <w:hyperlink r:id="rId1" w:history="1">
      <w:r w:rsidRPr="00D67A76">
        <w:rPr>
          <w:rStyle w:val="Hyperlink"/>
        </w:rPr>
        <w:t>Barnsley Council food plan</w:t>
      </w:r>
    </w:hyperlink>
  </w:p>
  <w:p w14:paraId="7E13193C" w14:textId="77777777" w:rsidR="00D67A76" w:rsidRDefault="00D67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5C65" w14:textId="77777777" w:rsidR="002E1498" w:rsidRDefault="002E1498" w:rsidP="00A2301D">
      <w:pPr>
        <w:spacing w:after="0" w:line="240" w:lineRule="auto"/>
      </w:pPr>
      <w:r>
        <w:separator/>
      </w:r>
    </w:p>
  </w:footnote>
  <w:footnote w:type="continuationSeparator" w:id="0">
    <w:p w14:paraId="5915CC68" w14:textId="77777777" w:rsidR="002E1498" w:rsidRDefault="002E1498"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8240"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3DFB"/>
    <w:multiLevelType w:val="hybridMultilevel"/>
    <w:tmpl w:val="260051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37E81"/>
    <w:multiLevelType w:val="hybridMultilevel"/>
    <w:tmpl w:val="CFF0C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D03BEE"/>
    <w:multiLevelType w:val="hybridMultilevel"/>
    <w:tmpl w:val="D25ED86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4A2E40"/>
    <w:multiLevelType w:val="multilevel"/>
    <w:tmpl w:val="095E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8F5B80"/>
    <w:multiLevelType w:val="hybridMultilevel"/>
    <w:tmpl w:val="28FEF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330176"/>
    <w:multiLevelType w:val="multilevel"/>
    <w:tmpl w:val="59FC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317F78"/>
    <w:multiLevelType w:val="multilevel"/>
    <w:tmpl w:val="0B7E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75789D"/>
    <w:multiLevelType w:val="multilevel"/>
    <w:tmpl w:val="CBA8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D4968"/>
    <w:multiLevelType w:val="multilevel"/>
    <w:tmpl w:val="E118D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E63FCF"/>
    <w:multiLevelType w:val="multilevel"/>
    <w:tmpl w:val="59EE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F2493A"/>
    <w:multiLevelType w:val="multilevel"/>
    <w:tmpl w:val="DD7A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2"/>
  </w:num>
  <w:num w:numId="2" w16cid:durableId="1822233955">
    <w:abstractNumId w:val="1"/>
  </w:num>
  <w:num w:numId="3" w16cid:durableId="670596978">
    <w:abstractNumId w:val="14"/>
  </w:num>
  <w:num w:numId="4" w16cid:durableId="696397192">
    <w:abstractNumId w:val="4"/>
  </w:num>
  <w:num w:numId="5" w16cid:durableId="447621508">
    <w:abstractNumId w:val="11"/>
  </w:num>
  <w:num w:numId="6" w16cid:durableId="1443256850">
    <w:abstractNumId w:val="10"/>
  </w:num>
  <w:num w:numId="7" w16cid:durableId="1136293832">
    <w:abstractNumId w:val="0"/>
  </w:num>
  <w:num w:numId="8" w16cid:durableId="1167330236">
    <w:abstractNumId w:val="13"/>
  </w:num>
  <w:num w:numId="9" w16cid:durableId="1427767366">
    <w:abstractNumId w:val="8"/>
  </w:num>
  <w:num w:numId="10" w16cid:durableId="1806316923">
    <w:abstractNumId w:val="6"/>
  </w:num>
  <w:num w:numId="11" w16cid:durableId="342781513">
    <w:abstractNumId w:val="7"/>
  </w:num>
  <w:num w:numId="12" w16cid:durableId="1398629219">
    <w:abstractNumId w:val="3"/>
  </w:num>
  <w:num w:numId="13" w16cid:durableId="475296270">
    <w:abstractNumId w:val="12"/>
  </w:num>
  <w:num w:numId="14" w16cid:durableId="743379949">
    <w:abstractNumId w:val="9"/>
  </w:num>
  <w:num w:numId="15" w16cid:durableId="18974751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55D6"/>
    <w:rsid w:val="000173C8"/>
    <w:rsid w:val="00017509"/>
    <w:rsid w:val="00020905"/>
    <w:rsid w:val="0002474B"/>
    <w:rsid w:val="0003013E"/>
    <w:rsid w:val="00031D44"/>
    <w:rsid w:val="00034F2F"/>
    <w:rsid w:val="00036B78"/>
    <w:rsid w:val="000539B3"/>
    <w:rsid w:val="00060438"/>
    <w:rsid w:val="00061477"/>
    <w:rsid w:val="00064AE0"/>
    <w:rsid w:val="00066812"/>
    <w:rsid w:val="00073B53"/>
    <w:rsid w:val="00080BBF"/>
    <w:rsid w:val="00083C1E"/>
    <w:rsid w:val="000840E2"/>
    <w:rsid w:val="00084762"/>
    <w:rsid w:val="000926D0"/>
    <w:rsid w:val="00093C8A"/>
    <w:rsid w:val="00096B1B"/>
    <w:rsid w:val="000A6320"/>
    <w:rsid w:val="000B4045"/>
    <w:rsid w:val="000C5E79"/>
    <w:rsid w:val="000C6095"/>
    <w:rsid w:val="000C6D39"/>
    <w:rsid w:val="000D28E7"/>
    <w:rsid w:val="000D4BC7"/>
    <w:rsid w:val="000E057E"/>
    <w:rsid w:val="000E2390"/>
    <w:rsid w:val="000E49C1"/>
    <w:rsid w:val="000E67FB"/>
    <w:rsid w:val="000F7C5B"/>
    <w:rsid w:val="00102BFF"/>
    <w:rsid w:val="00105068"/>
    <w:rsid w:val="00112752"/>
    <w:rsid w:val="00131065"/>
    <w:rsid w:val="001316FA"/>
    <w:rsid w:val="0013487F"/>
    <w:rsid w:val="00136244"/>
    <w:rsid w:val="0015645C"/>
    <w:rsid w:val="001578B3"/>
    <w:rsid w:val="00157967"/>
    <w:rsid w:val="00160F97"/>
    <w:rsid w:val="0018432E"/>
    <w:rsid w:val="00185C51"/>
    <w:rsid w:val="0018767F"/>
    <w:rsid w:val="00192F47"/>
    <w:rsid w:val="001931BC"/>
    <w:rsid w:val="001A33FF"/>
    <w:rsid w:val="001A79E3"/>
    <w:rsid w:val="001C1263"/>
    <w:rsid w:val="001C2572"/>
    <w:rsid w:val="001C57BD"/>
    <w:rsid w:val="001D21A6"/>
    <w:rsid w:val="001D4367"/>
    <w:rsid w:val="001D51A6"/>
    <w:rsid w:val="001E597C"/>
    <w:rsid w:val="001E74FD"/>
    <w:rsid w:val="001F32AD"/>
    <w:rsid w:val="0020396F"/>
    <w:rsid w:val="00206E9C"/>
    <w:rsid w:val="0022108A"/>
    <w:rsid w:val="002302A1"/>
    <w:rsid w:val="00251F8C"/>
    <w:rsid w:val="00253875"/>
    <w:rsid w:val="002679D4"/>
    <w:rsid w:val="00273BF0"/>
    <w:rsid w:val="0028001C"/>
    <w:rsid w:val="00293CB8"/>
    <w:rsid w:val="00297E7F"/>
    <w:rsid w:val="002A4977"/>
    <w:rsid w:val="002A54A6"/>
    <w:rsid w:val="002B061C"/>
    <w:rsid w:val="002C75CA"/>
    <w:rsid w:val="002D68BD"/>
    <w:rsid w:val="002E1498"/>
    <w:rsid w:val="002E5E8F"/>
    <w:rsid w:val="002F7B42"/>
    <w:rsid w:val="00300A43"/>
    <w:rsid w:val="003018AE"/>
    <w:rsid w:val="0030663F"/>
    <w:rsid w:val="00313588"/>
    <w:rsid w:val="00324E41"/>
    <w:rsid w:val="0033344F"/>
    <w:rsid w:val="00340CD2"/>
    <w:rsid w:val="00351188"/>
    <w:rsid w:val="003522AF"/>
    <w:rsid w:val="003525AB"/>
    <w:rsid w:val="00355B4E"/>
    <w:rsid w:val="00355CFD"/>
    <w:rsid w:val="003601F2"/>
    <w:rsid w:val="00362234"/>
    <w:rsid w:val="00373078"/>
    <w:rsid w:val="00376F8E"/>
    <w:rsid w:val="003772B5"/>
    <w:rsid w:val="00377770"/>
    <w:rsid w:val="0038080F"/>
    <w:rsid w:val="00380F6A"/>
    <w:rsid w:val="00382E70"/>
    <w:rsid w:val="00386C64"/>
    <w:rsid w:val="003B2B19"/>
    <w:rsid w:val="003B2FCC"/>
    <w:rsid w:val="003B672D"/>
    <w:rsid w:val="003C6A90"/>
    <w:rsid w:val="003C7082"/>
    <w:rsid w:val="003D015F"/>
    <w:rsid w:val="003E11E0"/>
    <w:rsid w:val="003E1FF1"/>
    <w:rsid w:val="003E7C14"/>
    <w:rsid w:val="003F026B"/>
    <w:rsid w:val="003F1DD3"/>
    <w:rsid w:val="003F77D6"/>
    <w:rsid w:val="00401FC6"/>
    <w:rsid w:val="00402ABB"/>
    <w:rsid w:val="00411E67"/>
    <w:rsid w:val="00412106"/>
    <w:rsid w:val="00422EFC"/>
    <w:rsid w:val="00425393"/>
    <w:rsid w:val="004342A7"/>
    <w:rsid w:val="00434FE5"/>
    <w:rsid w:val="00437B5D"/>
    <w:rsid w:val="004465EA"/>
    <w:rsid w:val="00450992"/>
    <w:rsid w:val="00453B28"/>
    <w:rsid w:val="004540A7"/>
    <w:rsid w:val="004606AD"/>
    <w:rsid w:val="00465551"/>
    <w:rsid w:val="0046799A"/>
    <w:rsid w:val="00473865"/>
    <w:rsid w:val="004828C0"/>
    <w:rsid w:val="004A6BBF"/>
    <w:rsid w:val="004D4DD5"/>
    <w:rsid w:val="004D7236"/>
    <w:rsid w:val="004E32D2"/>
    <w:rsid w:val="004F0070"/>
    <w:rsid w:val="004F2CC7"/>
    <w:rsid w:val="004F5452"/>
    <w:rsid w:val="00501698"/>
    <w:rsid w:val="00503F82"/>
    <w:rsid w:val="0050611A"/>
    <w:rsid w:val="005104F9"/>
    <w:rsid w:val="005111C0"/>
    <w:rsid w:val="00523C44"/>
    <w:rsid w:val="00526B0E"/>
    <w:rsid w:val="00527C84"/>
    <w:rsid w:val="005357C5"/>
    <w:rsid w:val="005500F4"/>
    <w:rsid w:val="0056092A"/>
    <w:rsid w:val="005645F4"/>
    <w:rsid w:val="00570533"/>
    <w:rsid w:val="005737F1"/>
    <w:rsid w:val="0057465A"/>
    <w:rsid w:val="00575B07"/>
    <w:rsid w:val="00582311"/>
    <w:rsid w:val="00591DEA"/>
    <w:rsid w:val="00592C0E"/>
    <w:rsid w:val="00593504"/>
    <w:rsid w:val="005961C3"/>
    <w:rsid w:val="005A34C3"/>
    <w:rsid w:val="005A3991"/>
    <w:rsid w:val="005A799B"/>
    <w:rsid w:val="005B299A"/>
    <w:rsid w:val="005C5E1C"/>
    <w:rsid w:val="005C7763"/>
    <w:rsid w:val="005D7437"/>
    <w:rsid w:val="005F124C"/>
    <w:rsid w:val="005F52C3"/>
    <w:rsid w:val="005F726A"/>
    <w:rsid w:val="0060543E"/>
    <w:rsid w:val="00613BBC"/>
    <w:rsid w:val="00625ABB"/>
    <w:rsid w:val="0063213D"/>
    <w:rsid w:val="00634FF8"/>
    <w:rsid w:val="00635E90"/>
    <w:rsid w:val="00635F5C"/>
    <w:rsid w:val="00646276"/>
    <w:rsid w:val="00650470"/>
    <w:rsid w:val="00656300"/>
    <w:rsid w:val="00662325"/>
    <w:rsid w:val="0066258B"/>
    <w:rsid w:val="00664714"/>
    <w:rsid w:val="00664E0E"/>
    <w:rsid w:val="00671D5A"/>
    <w:rsid w:val="00693E13"/>
    <w:rsid w:val="0069471C"/>
    <w:rsid w:val="00695164"/>
    <w:rsid w:val="006A4730"/>
    <w:rsid w:val="006A4DA6"/>
    <w:rsid w:val="006B7FEA"/>
    <w:rsid w:val="006C780A"/>
    <w:rsid w:val="006D7FA2"/>
    <w:rsid w:val="006F1695"/>
    <w:rsid w:val="006F28B3"/>
    <w:rsid w:val="0070228A"/>
    <w:rsid w:val="007049A7"/>
    <w:rsid w:val="0070715A"/>
    <w:rsid w:val="00710120"/>
    <w:rsid w:val="007105FE"/>
    <w:rsid w:val="00713A8E"/>
    <w:rsid w:val="00722064"/>
    <w:rsid w:val="00732B8F"/>
    <w:rsid w:val="00734F7E"/>
    <w:rsid w:val="00735645"/>
    <w:rsid w:val="007419E7"/>
    <w:rsid w:val="00750CD2"/>
    <w:rsid w:val="00754453"/>
    <w:rsid w:val="00757C5A"/>
    <w:rsid w:val="00760EF4"/>
    <w:rsid w:val="007619D1"/>
    <w:rsid w:val="00780361"/>
    <w:rsid w:val="00783EC8"/>
    <w:rsid w:val="0078580C"/>
    <w:rsid w:val="00785EF4"/>
    <w:rsid w:val="00791998"/>
    <w:rsid w:val="00793A92"/>
    <w:rsid w:val="00795D45"/>
    <w:rsid w:val="007A018C"/>
    <w:rsid w:val="007A65AD"/>
    <w:rsid w:val="007B5008"/>
    <w:rsid w:val="007B68B2"/>
    <w:rsid w:val="007D4E37"/>
    <w:rsid w:val="007D676F"/>
    <w:rsid w:val="007E0B54"/>
    <w:rsid w:val="007F0226"/>
    <w:rsid w:val="007F2882"/>
    <w:rsid w:val="007F3C86"/>
    <w:rsid w:val="008018F7"/>
    <w:rsid w:val="0081071B"/>
    <w:rsid w:val="0081119A"/>
    <w:rsid w:val="00815260"/>
    <w:rsid w:val="0081604C"/>
    <w:rsid w:val="00831224"/>
    <w:rsid w:val="008322AF"/>
    <w:rsid w:val="00835483"/>
    <w:rsid w:val="008427D0"/>
    <w:rsid w:val="00851236"/>
    <w:rsid w:val="00860B27"/>
    <w:rsid w:val="0086577A"/>
    <w:rsid w:val="00865E09"/>
    <w:rsid w:val="008953B3"/>
    <w:rsid w:val="00897947"/>
    <w:rsid w:val="008C08B6"/>
    <w:rsid w:val="008C2A67"/>
    <w:rsid w:val="008C35DF"/>
    <w:rsid w:val="008C6ED2"/>
    <w:rsid w:val="008E09DF"/>
    <w:rsid w:val="008E470A"/>
    <w:rsid w:val="008F057F"/>
    <w:rsid w:val="008F3D84"/>
    <w:rsid w:val="008F4C09"/>
    <w:rsid w:val="008F61C9"/>
    <w:rsid w:val="008F7939"/>
    <w:rsid w:val="008F796F"/>
    <w:rsid w:val="009148E2"/>
    <w:rsid w:val="009176BA"/>
    <w:rsid w:val="00952A94"/>
    <w:rsid w:val="009537A9"/>
    <w:rsid w:val="00960DF8"/>
    <w:rsid w:val="0096463D"/>
    <w:rsid w:val="00986415"/>
    <w:rsid w:val="009A5EAF"/>
    <w:rsid w:val="009A620C"/>
    <w:rsid w:val="009D047D"/>
    <w:rsid w:val="009D1D1D"/>
    <w:rsid w:val="009D2079"/>
    <w:rsid w:val="009D2CBE"/>
    <w:rsid w:val="009D2E19"/>
    <w:rsid w:val="009D440D"/>
    <w:rsid w:val="009E6E5D"/>
    <w:rsid w:val="009F4CEB"/>
    <w:rsid w:val="00A0271E"/>
    <w:rsid w:val="00A07E24"/>
    <w:rsid w:val="00A1216A"/>
    <w:rsid w:val="00A1387E"/>
    <w:rsid w:val="00A224C2"/>
    <w:rsid w:val="00A2301D"/>
    <w:rsid w:val="00A246E5"/>
    <w:rsid w:val="00A443D1"/>
    <w:rsid w:val="00A573F9"/>
    <w:rsid w:val="00A603DD"/>
    <w:rsid w:val="00A6382D"/>
    <w:rsid w:val="00A728B9"/>
    <w:rsid w:val="00A91E75"/>
    <w:rsid w:val="00A92ED2"/>
    <w:rsid w:val="00A93766"/>
    <w:rsid w:val="00A9708F"/>
    <w:rsid w:val="00AA1BBB"/>
    <w:rsid w:val="00AA5854"/>
    <w:rsid w:val="00AB6CDC"/>
    <w:rsid w:val="00AC2A2A"/>
    <w:rsid w:val="00AC7E1D"/>
    <w:rsid w:val="00AC7E31"/>
    <w:rsid w:val="00AD4D57"/>
    <w:rsid w:val="00AE2050"/>
    <w:rsid w:val="00AF0F2A"/>
    <w:rsid w:val="00AF1296"/>
    <w:rsid w:val="00AF1327"/>
    <w:rsid w:val="00AF2EFB"/>
    <w:rsid w:val="00B07235"/>
    <w:rsid w:val="00B101E3"/>
    <w:rsid w:val="00B14005"/>
    <w:rsid w:val="00B144FE"/>
    <w:rsid w:val="00B16B6B"/>
    <w:rsid w:val="00B172D7"/>
    <w:rsid w:val="00B22EB5"/>
    <w:rsid w:val="00B278A4"/>
    <w:rsid w:val="00B36027"/>
    <w:rsid w:val="00B50434"/>
    <w:rsid w:val="00B51FFD"/>
    <w:rsid w:val="00B645A0"/>
    <w:rsid w:val="00B65265"/>
    <w:rsid w:val="00B77521"/>
    <w:rsid w:val="00B854B2"/>
    <w:rsid w:val="00B86616"/>
    <w:rsid w:val="00B8708C"/>
    <w:rsid w:val="00BA19AE"/>
    <w:rsid w:val="00BA7397"/>
    <w:rsid w:val="00BB1D57"/>
    <w:rsid w:val="00BB589C"/>
    <w:rsid w:val="00BB7A33"/>
    <w:rsid w:val="00BC026E"/>
    <w:rsid w:val="00BC06E1"/>
    <w:rsid w:val="00BC188D"/>
    <w:rsid w:val="00BC19BC"/>
    <w:rsid w:val="00BC1D31"/>
    <w:rsid w:val="00BD2B31"/>
    <w:rsid w:val="00BD75A8"/>
    <w:rsid w:val="00BE7C22"/>
    <w:rsid w:val="00BF33A9"/>
    <w:rsid w:val="00BF5A72"/>
    <w:rsid w:val="00BF7AA1"/>
    <w:rsid w:val="00C059EC"/>
    <w:rsid w:val="00C10026"/>
    <w:rsid w:val="00C101BA"/>
    <w:rsid w:val="00C109FB"/>
    <w:rsid w:val="00C139F7"/>
    <w:rsid w:val="00C14F6A"/>
    <w:rsid w:val="00C22827"/>
    <w:rsid w:val="00C254F8"/>
    <w:rsid w:val="00C273F8"/>
    <w:rsid w:val="00C33399"/>
    <w:rsid w:val="00C43EFB"/>
    <w:rsid w:val="00C449E9"/>
    <w:rsid w:val="00C50413"/>
    <w:rsid w:val="00C5172F"/>
    <w:rsid w:val="00C51FBE"/>
    <w:rsid w:val="00C5256A"/>
    <w:rsid w:val="00C54CCD"/>
    <w:rsid w:val="00C61577"/>
    <w:rsid w:val="00C66908"/>
    <w:rsid w:val="00C864DC"/>
    <w:rsid w:val="00C87D7B"/>
    <w:rsid w:val="00CA04C5"/>
    <w:rsid w:val="00CA35F9"/>
    <w:rsid w:val="00CA3C27"/>
    <w:rsid w:val="00CA5D75"/>
    <w:rsid w:val="00CB0138"/>
    <w:rsid w:val="00CB3330"/>
    <w:rsid w:val="00CB77A8"/>
    <w:rsid w:val="00CC3128"/>
    <w:rsid w:val="00CD0799"/>
    <w:rsid w:val="00CF31FF"/>
    <w:rsid w:val="00CF683B"/>
    <w:rsid w:val="00CF77BE"/>
    <w:rsid w:val="00D04A71"/>
    <w:rsid w:val="00D04DE9"/>
    <w:rsid w:val="00D078F2"/>
    <w:rsid w:val="00D14985"/>
    <w:rsid w:val="00D20F30"/>
    <w:rsid w:val="00D31613"/>
    <w:rsid w:val="00D35159"/>
    <w:rsid w:val="00D4630F"/>
    <w:rsid w:val="00D618A4"/>
    <w:rsid w:val="00D67A76"/>
    <w:rsid w:val="00D74468"/>
    <w:rsid w:val="00D84C54"/>
    <w:rsid w:val="00D855AF"/>
    <w:rsid w:val="00D861C1"/>
    <w:rsid w:val="00D962C9"/>
    <w:rsid w:val="00DB3CD3"/>
    <w:rsid w:val="00DB40D2"/>
    <w:rsid w:val="00DC22F1"/>
    <w:rsid w:val="00DC5146"/>
    <w:rsid w:val="00DD4922"/>
    <w:rsid w:val="00DE28AD"/>
    <w:rsid w:val="00DE35C8"/>
    <w:rsid w:val="00DE43CD"/>
    <w:rsid w:val="00DF0F37"/>
    <w:rsid w:val="00DF2416"/>
    <w:rsid w:val="00DF3E6F"/>
    <w:rsid w:val="00E03148"/>
    <w:rsid w:val="00E07B73"/>
    <w:rsid w:val="00E120A1"/>
    <w:rsid w:val="00E17A78"/>
    <w:rsid w:val="00E24551"/>
    <w:rsid w:val="00E2648F"/>
    <w:rsid w:val="00E27F84"/>
    <w:rsid w:val="00E4102C"/>
    <w:rsid w:val="00E43628"/>
    <w:rsid w:val="00E459E6"/>
    <w:rsid w:val="00E52DE2"/>
    <w:rsid w:val="00E5451F"/>
    <w:rsid w:val="00E719D1"/>
    <w:rsid w:val="00E724AF"/>
    <w:rsid w:val="00E81436"/>
    <w:rsid w:val="00E8515E"/>
    <w:rsid w:val="00E93BCB"/>
    <w:rsid w:val="00E96748"/>
    <w:rsid w:val="00EA1615"/>
    <w:rsid w:val="00EB0947"/>
    <w:rsid w:val="00EC01A0"/>
    <w:rsid w:val="00EE1570"/>
    <w:rsid w:val="00EE293F"/>
    <w:rsid w:val="00EF0FB8"/>
    <w:rsid w:val="00EF2B71"/>
    <w:rsid w:val="00F039BA"/>
    <w:rsid w:val="00F0613B"/>
    <w:rsid w:val="00F0747C"/>
    <w:rsid w:val="00F21DB0"/>
    <w:rsid w:val="00F326FA"/>
    <w:rsid w:val="00F362FB"/>
    <w:rsid w:val="00F43D14"/>
    <w:rsid w:val="00F456AB"/>
    <w:rsid w:val="00F469A6"/>
    <w:rsid w:val="00F75709"/>
    <w:rsid w:val="00F76BD2"/>
    <w:rsid w:val="00F76D55"/>
    <w:rsid w:val="00F76F79"/>
    <w:rsid w:val="00F8255F"/>
    <w:rsid w:val="00F84CD7"/>
    <w:rsid w:val="00F90F44"/>
    <w:rsid w:val="00F95330"/>
    <w:rsid w:val="00F956F9"/>
    <w:rsid w:val="00FA6678"/>
    <w:rsid w:val="00FB0FDD"/>
    <w:rsid w:val="00FB36DF"/>
    <w:rsid w:val="00FB61E7"/>
    <w:rsid w:val="00FB6DA8"/>
    <w:rsid w:val="00FC4494"/>
    <w:rsid w:val="00FC64EB"/>
    <w:rsid w:val="00FD39C3"/>
    <w:rsid w:val="00FD4EC7"/>
    <w:rsid w:val="00FE2472"/>
    <w:rsid w:val="00FE2EF8"/>
    <w:rsid w:val="00FE3B8E"/>
    <w:rsid w:val="00FE6314"/>
    <w:rsid w:val="00FF567B"/>
    <w:rsid w:val="014EAE36"/>
    <w:rsid w:val="048C515A"/>
    <w:rsid w:val="06E3394D"/>
    <w:rsid w:val="08703045"/>
    <w:rsid w:val="09B7DCF1"/>
    <w:rsid w:val="0C6294D1"/>
    <w:rsid w:val="1173C475"/>
    <w:rsid w:val="132C272B"/>
    <w:rsid w:val="13641BE5"/>
    <w:rsid w:val="174AE0A3"/>
    <w:rsid w:val="1B24D386"/>
    <w:rsid w:val="1C7CA0B6"/>
    <w:rsid w:val="203A2A23"/>
    <w:rsid w:val="21C65821"/>
    <w:rsid w:val="22AD9120"/>
    <w:rsid w:val="25CF76AF"/>
    <w:rsid w:val="26C94D50"/>
    <w:rsid w:val="29A7FA83"/>
    <w:rsid w:val="2A1E4B06"/>
    <w:rsid w:val="2A8AA310"/>
    <w:rsid w:val="2AC9EDD7"/>
    <w:rsid w:val="2D71BA93"/>
    <w:rsid w:val="2EEDFB42"/>
    <w:rsid w:val="2F1D1F30"/>
    <w:rsid w:val="302FB55C"/>
    <w:rsid w:val="333E466F"/>
    <w:rsid w:val="376F147B"/>
    <w:rsid w:val="3930D97C"/>
    <w:rsid w:val="3E8F89DC"/>
    <w:rsid w:val="3EA173C2"/>
    <w:rsid w:val="400443F4"/>
    <w:rsid w:val="404CCCB0"/>
    <w:rsid w:val="46183E7D"/>
    <w:rsid w:val="4770AA2E"/>
    <w:rsid w:val="49C126C3"/>
    <w:rsid w:val="4B2C0871"/>
    <w:rsid w:val="4CB78E77"/>
    <w:rsid w:val="4CCA491C"/>
    <w:rsid w:val="4E7709C3"/>
    <w:rsid w:val="534CFFC1"/>
    <w:rsid w:val="5CFA08D2"/>
    <w:rsid w:val="5FA7FF84"/>
    <w:rsid w:val="6189B2B4"/>
    <w:rsid w:val="636A3F6A"/>
    <w:rsid w:val="657D575E"/>
    <w:rsid w:val="666F4D9E"/>
    <w:rsid w:val="674F135E"/>
    <w:rsid w:val="67D6F368"/>
    <w:rsid w:val="6C2B025B"/>
    <w:rsid w:val="71C1DFE8"/>
    <w:rsid w:val="71FF033B"/>
    <w:rsid w:val="75FB65BA"/>
    <w:rsid w:val="762FE492"/>
    <w:rsid w:val="7647D8BB"/>
    <w:rsid w:val="789289C4"/>
    <w:rsid w:val="7D4C2ED6"/>
    <w:rsid w:val="7ED99A1F"/>
    <w:rsid w:val="7FDF4D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0738C"/>
  <w15:chartTrackingRefBased/>
  <w15:docId w15:val="{493A6CC1-81A2-47EE-8A7A-6737BC8A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4F00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0070"/>
    <w:rPr>
      <w:sz w:val="20"/>
      <w:szCs w:val="20"/>
    </w:rPr>
  </w:style>
  <w:style w:type="character" w:styleId="FootnoteReference">
    <w:name w:val="footnote reference"/>
    <w:basedOn w:val="DefaultParagraphFont"/>
    <w:uiPriority w:val="99"/>
    <w:semiHidden/>
    <w:unhideWhenUsed/>
    <w:rsid w:val="004F0070"/>
    <w:rPr>
      <w:vertAlign w:val="superscript"/>
    </w:rPr>
  </w:style>
  <w:style w:type="paragraph" w:styleId="CommentSubject">
    <w:name w:val="annotation subject"/>
    <w:basedOn w:val="CommentText"/>
    <w:next w:val="CommentText"/>
    <w:link w:val="CommentSubjectChar"/>
    <w:uiPriority w:val="99"/>
    <w:semiHidden/>
    <w:unhideWhenUsed/>
    <w:rsid w:val="002302A1"/>
    <w:rPr>
      <w:b/>
      <w:bCs/>
    </w:rPr>
  </w:style>
  <w:style w:type="character" w:customStyle="1" w:styleId="CommentSubjectChar">
    <w:name w:val="Comment Subject Char"/>
    <w:basedOn w:val="CommentTextChar"/>
    <w:link w:val="CommentSubject"/>
    <w:uiPriority w:val="99"/>
    <w:semiHidden/>
    <w:rsid w:val="002302A1"/>
    <w:rPr>
      <w:b/>
      <w:bCs/>
      <w:sz w:val="20"/>
      <w:szCs w:val="20"/>
    </w:rPr>
  </w:style>
  <w:style w:type="character" w:styleId="FollowedHyperlink">
    <w:name w:val="FollowedHyperlink"/>
    <w:basedOn w:val="DefaultParagraphFont"/>
    <w:uiPriority w:val="99"/>
    <w:semiHidden/>
    <w:unhideWhenUsed/>
    <w:rsid w:val="00A6382D"/>
    <w:rPr>
      <w:color w:val="96607D" w:themeColor="followedHyperlink"/>
      <w:u w:val="single"/>
    </w:rPr>
  </w:style>
  <w:style w:type="character" w:customStyle="1" w:styleId="nobreakhyphenblob">
    <w:name w:val="nobreakhyphenblob"/>
    <w:basedOn w:val="DefaultParagraphFont"/>
    <w:rsid w:val="00D962C9"/>
  </w:style>
  <w:style w:type="paragraph" w:customStyle="1" w:styleId="Default">
    <w:name w:val="Default"/>
    <w:rsid w:val="008018F7"/>
    <w:pPr>
      <w:autoSpaceDE w:val="0"/>
      <w:autoSpaceDN w:val="0"/>
      <w:adjustRightInd w:val="0"/>
      <w:spacing w:after="0" w:line="240" w:lineRule="auto"/>
    </w:pPr>
    <w:rPr>
      <w:rFonts w:ascii="Arial" w:hAnsi="Arial" w:cs="Arial"/>
      <w:color w:val="000000"/>
      <w:kern w:val="0"/>
      <w:sz w:val="24"/>
      <w:szCs w:val="24"/>
    </w:rPr>
  </w:style>
  <w:style w:type="character" w:customStyle="1" w:styleId="superscript">
    <w:name w:val="superscript"/>
    <w:basedOn w:val="DefaultParagraphFont"/>
    <w:rsid w:val="0037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planning-policy-framework--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ngertips.phe.org.uk/profile/obesity-physical-activity-nutri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ingertips.phe.org.uk/profile/obesity-physical-activity-nutri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rnsley.gov.uk/media/15712/hot-food-takeaway-pan.pdf" TargetMode="External"/><Relationship Id="rId5" Type="http://schemas.openxmlformats.org/officeDocument/2006/relationships/numbering" Target="numbering.xml"/><Relationship Id="rId15" Type="http://schemas.openxmlformats.org/officeDocument/2006/relationships/hyperlink" Target="https://www.barnsley.gov.uk/media/15712/hot-food-takeaway-pa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rnsley.gov.uk/media/15713/hot-food-takeaway-spd.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barnsley.gov.uk/media/26141/food-plan-2022-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TaxCatchAll xmlns="f4edfb27-fdcf-4944-9520-fd54d4f1d725" xsi:nil="true"/>
    <lcf76f155ced4ddcb4097134ff3c332f xmlns="0cd06ba8-3d0c-4461-b1b9-cc99cc46e70a">
      <Terms xmlns="http://schemas.microsoft.com/office/infopath/2007/PartnerControls"/>
    </lcf76f155ced4ddcb4097134ff3c332f>
    <FileType1 xmlns="f4edfb27-fdcf-4944-9520-fd54d4f1d725">Consultee Response</FileType1>
    <_Flow_SignoffStatus xmlns="0cd06ba8-3d0c-4461-b1b9-cc99cc46e70a" xsi:nil="true"/>
    <Public xmlns="f4edfb27-fdcf-4944-9520-fd54d4f1d725">true</Publ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FD836-23A9-48A0-B01B-C071059F7FB0}">
  <ds:schemaRefs>
    <ds:schemaRef ds:uri="http://schemas.microsoft.com/office/2006/metadata/properties"/>
    <ds:schemaRef ds:uri="http://schemas.microsoft.com/office/infopath/2007/PartnerControls"/>
    <ds:schemaRef ds:uri="http://schemas.microsoft.com/sharepoint/v4"/>
    <ds:schemaRef ds:uri="97b9275c-d820-43b6-b02b-98521d9711b8"/>
    <ds:schemaRef ds:uri="18f28312-890e-45ef-9117-7554c6346974"/>
    <ds:schemaRef ds:uri="http://schemas.microsoft.com/sharepoint.v3"/>
  </ds:schemaRefs>
</ds:datastoreItem>
</file>

<file path=customXml/itemProps2.xml><?xml version="1.0" encoding="utf-8"?>
<ds:datastoreItem xmlns:ds="http://schemas.openxmlformats.org/officeDocument/2006/customXml" ds:itemID="{BA7B7554-DB2C-4525-AE20-32BA555CADBE}">
  <ds:schemaRefs>
    <ds:schemaRef ds:uri="http://schemas.microsoft.com/sharepoint/v3/contenttype/forms"/>
  </ds:schemaRefs>
</ds:datastoreItem>
</file>

<file path=customXml/itemProps3.xml><?xml version="1.0" encoding="utf-8"?>
<ds:datastoreItem xmlns:ds="http://schemas.openxmlformats.org/officeDocument/2006/customXml" ds:itemID="{A0C96AB2-DCE2-4D30-806A-CD7195A54F79}">
  <ds:schemaRefs>
    <ds:schemaRef ds:uri="http://schemas.openxmlformats.org/officeDocument/2006/bibliography"/>
  </ds:schemaRefs>
</ds:datastoreItem>
</file>

<file path=customXml/itemProps4.xml><?xml version="1.0" encoding="utf-8"?>
<ds:datastoreItem xmlns:ds="http://schemas.openxmlformats.org/officeDocument/2006/customXml" ds:itemID="{2AEA02A3-090E-4856-AED4-C537D0BA6E36}"/>
</file>

<file path=docProps/app.xml><?xml version="1.0" encoding="utf-8"?>
<Properties xmlns="http://schemas.openxmlformats.org/officeDocument/2006/extended-properties" xmlns:vt="http://schemas.openxmlformats.org/officeDocument/2006/docPropsVTypes">
  <Template>Normal</Template>
  <TotalTime>1</TotalTime>
  <Pages>4</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Links>
    <vt:vector size="48" baseType="variant">
      <vt:variant>
        <vt:i4>1900627</vt:i4>
      </vt:variant>
      <vt:variant>
        <vt:i4>12</vt:i4>
      </vt:variant>
      <vt:variant>
        <vt:i4>0</vt:i4>
      </vt:variant>
      <vt:variant>
        <vt:i4>5</vt:i4>
      </vt:variant>
      <vt:variant>
        <vt:lpwstr>https://fingertips.phe.org.uk/profile/obesity-physical-activity-nutrition</vt:lpwstr>
      </vt:variant>
      <vt:variant>
        <vt:lpwstr/>
      </vt:variant>
      <vt:variant>
        <vt:i4>4259906</vt:i4>
      </vt:variant>
      <vt:variant>
        <vt:i4>9</vt:i4>
      </vt:variant>
      <vt:variant>
        <vt:i4>0</vt:i4>
      </vt:variant>
      <vt:variant>
        <vt:i4>5</vt:i4>
      </vt:variant>
      <vt:variant>
        <vt:lpwstr>https://www.barnsley.gov.uk/media/15712/hot-food-takeaway-pan.pdf</vt:lpwstr>
      </vt:variant>
      <vt:variant>
        <vt:lpwstr/>
      </vt:variant>
      <vt:variant>
        <vt:i4>5242954</vt:i4>
      </vt:variant>
      <vt:variant>
        <vt:i4>6</vt:i4>
      </vt:variant>
      <vt:variant>
        <vt:i4>0</vt:i4>
      </vt:variant>
      <vt:variant>
        <vt:i4>5</vt:i4>
      </vt:variant>
      <vt:variant>
        <vt:lpwstr>https://www.barnsley.gov.uk/media/15713/hot-food-takeaway-spd.pdf</vt:lpwstr>
      </vt:variant>
      <vt:variant>
        <vt:lpwstr/>
      </vt:variant>
      <vt:variant>
        <vt:i4>6094926</vt:i4>
      </vt:variant>
      <vt:variant>
        <vt:i4>3</vt:i4>
      </vt:variant>
      <vt:variant>
        <vt:i4>0</vt:i4>
      </vt:variant>
      <vt:variant>
        <vt:i4>5</vt:i4>
      </vt:variant>
      <vt:variant>
        <vt:lpwstr>https://www.gov.uk/government/publications/national-planning-policy-framework--2</vt:lpwstr>
      </vt:variant>
      <vt:variant>
        <vt:lpwstr/>
      </vt:variant>
      <vt:variant>
        <vt:i4>3473519</vt:i4>
      </vt:variant>
      <vt:variant>
        <vt:i4>0</vt:i4>
      </vt:variant>
      <vt:variant>
        <vt:i4>0</vt:i4>
      </vt:variant>
      <vt:variant>
        <vt:i4>5</vt:i4>
      </vt:variant>
      <vt:variant>
        <vt:lpwstr>https://fingertips.phe.org.uk/profile/obesity-physical-activity-nutrition/data</vt:lpwstr>
      </vt:variant>
      <vt:variant>
        <vt:lpwstr>page/3/gid/1938133288/pat/401/par/E08000016/ati/8/are/E05000976/iid/93108/age/201/sex/4/cat/-1/ctp/-1/yrr/3/cid/4/tbm/1/page-options/car-do-0</vt:lpwstr>
      </vt:variant>
      <vt:variant>
        <vt:i4>1114180</vt:i4>
      </vt:variant>
      <vt:variant>
        <vt:i4>3</vt:i4>
      </vt:variant>
      <vt:variant>
        <vt:i4>0</vt:i4>
      </vt:variant>
      <vt:variant>
        <vt:i4>5</vt:i4>
      </vt:variant>
      <vt:variant>
        <vt:lpwstr>https://assets.publishing.service.gov.uk/media/67aafe8f3b41f783cca46251/NPPF_December_2024.pdf</vt:lpwstr>
      </vt:variant>
      <vt:variant>
        <vt:lpwstr/>
      </vt:variant>
      <vt:variant>
        <vt:i4>3866683</vt:i4>
      </vt:variant>
      <vt:variant>
        <vt:i4>0</vt:i4>
      </vt:variant>
      <vt:variant>
        <vt:i4>0</vt:i4>
      </vt:variant>
      <vt:variant>
        <vt:i4>5</vt:i4>
      </vt:variant>
      <vt:variant>
        <vt:lpwstr>https://fingertips.phe.org.uk/obesity-physical-activity-nutrition</vt:lpwstr>
      </vt:variant>
      <vt:variant>
        <vt:lpwstr>page/1/gid/1938133368/pat/15/par/E92000001/ati/502/are/E08000016/yrr/1/cid/4/tbm/1</vt:lpwstr>
      </vt:variant>
      <vt:variant>
        <vt:i4>5898326</vt:i4>
      </vt:variant>
      <vt:variant>
        <vt:i4>0</vt:i4>
      </vt:variant>
      <vt:variant>
        <vt:i4>0</vt:i4>
      </vt:variant>
      <vt:variant>
        <vt:i4>5</vt:i4>
      </vt:variant>
      <vt:variant>
        <vt:lpwstr>https://www.barnsley.gov.uk/media/26141/food-plan-2022-25.pdf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Birks , Kerry (PUBLIC HEALTH OFFICER)</cp:lastModifiedBy>
  <cp:revision>2</cp:revision>
  <dcterms:created xsi:type="dcterms:W3CDTF">2026-08-12T14:17:00Z</dcterms:created>
  <dcterms:modified xsi:type="dcterms:W3CDTF">2026-08-12T14:17:00Z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docLang">
    <vt:lpwstr>en</vt:lpwstr>
  </property>
  <property fmtid="{D5CDD505-2E9C-101B-9397-08002B2CF9AE}" pid="4" name="MediaServiceImageTags">
    <vt:lpwstr/>
  </property>
</Properties>
</file>