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4"/>
        </w:rPr>
        <w:t>BUILDING FOR A HEALTHY LIFE ASSESSMENT</w:t>
      </w:r>
    </w:p>
    <w:p>
      <w:pPr>
        <w:jc w:val="center"/>
      </w:pPr>
      <w:r>
        <w:rPr>
          <w:b/>
          <w:sz w:val="30"/>
        </w:rPr>
        <w:t>Sheffield Road, Birdwell, Barnsley - Site HS67</w:t>
      </w:r>
    </w:p>
    <w:p/>
    <w:tbl>
      <w:tblPr>
        <w:tblStyle w:val="TableGrid"/>
        <w:tblW w:type="auto" w:w="0"/>
        <w:jc w:val="center"/>
        <w:tblLook w:firstColumn="1" w:firstRow="1" w:lastColumn="0" w:lastRow="0" w:noHBand="0" w:noVBand="1" w:val="04A0"/>
      </w:tblPr>
      <w:tblGrid>
        <w:gridCol w:w="5112"/>
        <w:gridCol w:w="5112"/>
      </w:tblGrid>
      <w:tr>
        <w:trPr>
          <w:cantSplit/>
        </w:trPr>
        <w:tc>
          <w:tcPr>
            <w:tcW w:type="dxa" w:w="5112"/>
            <w:shd w:fill="D9EAF7"/>
          </w:tcPr>
          <w:p>
            <w:r>
              <w:rPr>
                <w:sz w:val="17"/>
              </w:rPr>
            </w:r>
            <w:r>
              <w:rPr>
                <w:b/>
                <w:sz w:val="17"/>
              </w:rPr>
              <w:t>Project</w:t>
            </w:r>
          </w:p>
        </w:tc>
        <w:tc>
          <w:tcPr>
            <w:tcW w:type="dxa" w:w="5112"/>
          </w:tcPr>
          <w:p>
            <w:r>
              <w:rPr>
                <w:sz w:val="17"/>
              </w:rPr>
            </w:r>
            <w:r>
              <w:rPr>
                <w:b w:val="0"/>
                <w:sz w:val="17"/>
              </w:rPr>
              <w:t>Proposed Residential Development, Sheffield Road, Birdwell, Barnsley (Site HS67)</w:t>
            </w:r>
          </w:p>
        </w:tc>
      </w:tr>
      <w:tr>
        <w:trPr>
          <w:cantSplit/>
        </w:trPr>
        <w:tc>
          <w:tcPr>
            <w:tcW w:type="dxa" w:w="5112"/>
            <w:shd w:fill="D9EAF7"/>
          </w:tcPr>
          <w:p>
            <w:r>
              <w:rPr>
                <w:sz w:val="17"/>
              </w:rPr>
            </w:r>
            <w:r>
              <w:rPr>
                <w:b/>
                <w:sz w:val="17"/>
              </w:rPr>
              <w:t>Client</w:t>
            </w:r>
          </w:p>
        </w:tc>
        <w:tc>
          <w:tcPr>
            <w:tcW w:type="dxa" w:w="5112"/>
          </w:tcPr>
          <w:p>
            <w:r>
              <w:rPr>
                <w:sz w:val="17"/>
              </w:rPr>
            </w:r>
            <w:r>
              <w:rPr>
                <w:b w:val="0"/>
                <w:sz w:val="17"/>
              </w:rPr>
              <w:t>Gates Homes</w:t>
            </w:r>
          </w:p>
        </w:tc>
      </w:tr>
      <w:tr>
        <w:trPr>
          <w:cantSplit/>
        </w:trPr>
        <w:tc>
          <w:tcPr>
            <w:tcW w:type="dxa" w:w="5112"/>
            <w:shd w:fill="D9EAF7"/>
          </w:tcPr>
          <w:p>
            <w:r>
              <w:rPr>
                <w:sz w:val="17"/>
              </w:rPr>
            </w:r>
            <w:r>
              <w:rPr>
                <w:b/>
                <w:sz w:val="17"/>
              </w:rPr>
              <w:t>Prepared by</w:t>
            </w:r>
          </w:p>
        </w:tc>
        <w:tc>
          <w:tcPr>
            <w:tcW w:type="dxa" w:w="5112"/>
          </w:tcPr>
          <w:p>
            <w:r>
              <w:rPr>
                <w:sz w:val="17"/>
              </w:rPr>
            </w:r>
            <w:r>
              <w:rPr>
                <w:b w:val="0"/>
                <w:sz w:val="17"/>
              </w:rPr>
              <w:t>White Agus Ltd</w:t>
            </w:r>
          </w:p>
        </w:tc>
      </w:tr>
      <w:tr>
        <w:trPr>
          <w:cantSplit/>
        </w:trPr>
        <w:tc>
          <w:tcPr>
            <w:tcW w:type="dxa" w:w="5112"/>
            <w:shd w:fill="D9EAF7"/>
          </w:tcPr>
          <w:p>
            <w:r>
              <w:rPr>
                <w:sz w:val="17"/>
              </w:rPr>
            </w:r>
            <w:r>
              <w:rPr>
                <w:b/>
                <w:sz w:val="17"/>
              </w:rPr>
              <w:t>Date</w:t>
            </w:r>
          </w:p>
        </w:tc>
        <w:tc>
          <w:tcPr>
            <w:tcW w:type="dxa" w:w="5112"/>
          </w:tcPr>
          <w:p>
            <w:r>
              <w:rPr>
                <w:sz w:val="17"/>
              </w:rPr>
            </w:r>
            <w:r>
              <w:rPr>
                <w:b w:val="0"/>
                <w:sz w:val="17"/>
              </w:rPr>
              <w:t>June 2026</w:t>
            </w:r>
          </w:p>
        </w:tc>
      </w:tr>
      <w:tr>
        <w:trPr>
          <w:cantSplit/>
        </w:trPr>
        <w:tc>
          <w:tcPr>
            <w:tcW w:type="dxa" w:w="5112"/>
            <w:shd w:fill="D9EAF7"/>
          </w:tcPr>
          <w:p>
            <w:r>
              <w:rPr>
                <w:sz w:val="17"/>
              </w:rPr>
            </w:r>
            <w:r>
              <w:rPr>
                <w:b/>
                <w:sz w:val="17"/>
              </w:rPr>
              <w:t>Status</w:t>
            </w:r>
          </w:p>
        </w:tc>
        <w:tc>
          <w:tcPr>
            <w:tcW w:type="dxa" w:w="5112"/>
          </w:tcPr>
          <w:p>
            <w:r>
              <w:rPr>
                <w:sz w:val="17"/>
              </w:rPr>
            </w:r>
            <w:r>
              <w:rPr>
                <w:b w:val="0"/>
                <w:sz w:val="17"/>
              </w:rPr>
              <w:t>Draft for Planning Validation</w:t>
            </w:r>
          </w:p>
        </w:tc>
      </w:tr>
    </w:tbl>
    <w:p>
      <w:r>
        <w:br w:type="page"/>
      </w:r>
    </w:p>
    <w:p>
      <w:pPr>
        <w:pStyle w:val="Heading1"/>
      </w:pPr>
      <w:r>
        <w:t>1. Introduction</w:t>
      </w:r>
    </w:p>
    <w:p>
      <w:r>
        <w:t>This Building for a Healthy Life (BHL) Assessment has been prepared to support the full planning application for 10 dwellings on land at Sheffield Road, Birdwell, Barnsley, identified in the Barnsley Local Plan as Housing Allocation Site HS67. The assessment reviews the submitted layout, house type drawings and supporting design information against the 12 BHL considerations.</w:t>
      </w:r>
    </w:p>
    <w:p>
      <w:r>
        <w:t>BHL is used as a design and discussion tool rather than a simple tick-box exercise. This assessment is therefore a reasoned planning-stage self-assessment, identifying where the proposal performs well and where detailed matters should be secured through the submission or by planning condition.</w:t>
      </w:r>
    </w:p>
    <w:p>
      <w:pPr>
        <w:pStyle w:val="Heading1"/>
      </w:pPr>
      <w:r>
        <w:t>2. Site and proposal summary</w:t>
      </w:r>
    </w:p>
    <w:p>
      <w:pPr>
        <w:pStyle w:val="ListBullet"/>
      </w:pPr>
      <w:r>
        <w:t>The site lies to the west of Sheffield Road, close to Junction 36 of the M1 motorway.</w:t>
      </w:r>
    </w:p>
    <w:p>
      <w:pPr>
        <w:pStyle w:val="ListBullet"/>
      </w:pPr>
      <w:r>
        <w:t>The proposal comprises 10 detached and semi-detached family dwellings arranged around a central internal access road.</w:t>
      </w:r>
    </w:p>
    <w:p>
      <w:pPr>
        <w:pStyle w:val="ListBullet"/>
      </w:pPr>
      <w:r>
        <w:t>The submitted layout includes private drives, garages, rear gardens, frontage landscaping, street trees and a proposed drainage diversion strategy.</w:t>
      </w:r>
    </w:p>
    <w:p>
      <w:pPr>
        <w:pStyle w:val="ListBullet"/>
      </w:pPr>
      <w:r>
        <w:t>Plots 4-7 use split-level accommodation to respond to the sloping landform and avoid excessive land raising.</w:t>
      </w:r>
    </w:p>
    <w:p>
      <w:pPr>
        <w:pStyle w:val="ListBullet"/>
      </w:pPr>
      <w:r>
        <w:t>The site allocation requires regard to the adjacent Grade II listed Mine Rescue Station and to air quality matters associated with the M1 AQMA.</w:t>
      </w:r>
    </w:p>
    <w:p>
      <w:pPr>
        <w:pStyle w:val="Heading1"/>
      </w:pPr>
      <w:r>
        <w:t>3. Assessment method</w:t>
      </w:r>
    </w:p>
    <w:p>
      <w:r>
        <w:t>The assessment uses the BHL traffic-light approach:</w:t>
      </w:r>
    </w:p>
    <w:p>
      <w:pPr>
        <w:pStyle w:val="ListBullet"/>
      </w:pPr>
      <w:r>
        <w:t>Green - the proposal performs well against the consideration.</w:t>
      </w:r>
    </w:p>
    <w:p>
      <w:pPr>
        <w:pStyle w:val="ListBullet"/>
      </w:pPr>
      <w:r>
        <w:t>Amber - the proposal is broadly acceptable but further detailing, mitigation or management is required.</w:t>
      </w:r>
    </w:p>
    <w:p>
      <w:pPr>
        <w:pStyle w:val="ListBullet"/>
      </w:pPr>
      <w:r>
        <w:t>Red - the proposal performs poorly and requires fundamental design review.</w:t>
      </w:r>
    </w:p>
    <w:p>
      <w:r>
        <w:t>The submitted scheme is a small major residential development of 10 dwellings. Some BHL considerations are therefore applied proportionately, particularly those relating to wider neighbourhood facilities, public open space and larger-scale movement networks.</w:t>
      </w:r>
    </w:p>
    <w:p>
      <w:pPr>
        <w:pStyle w:val="Heading1"/>
      </w:pPr>
      <w:r>
        <w:t>4. Summary assessment</w:t>
      </w:r>
    </w:p>
    <w:tbl>
      <w:tblPr>
        <w:tblStyle w:val="TableGrid"/>
        <w:tblW w:type="auto" w:w="0"/>
        <w:jc w:val="center"/>
        <w:tblLook w:firstColumn="1" w:firstRow="1" w:lastColumn="0" w:lastRow="0" w:noHBand="0" w:noVBand="1" w:val="04A0"/>
      </w:tblPr>
      <w:tblGrid>
        <w:gridCol w:w="2556"/>
        <w:gridCol w:w="2556"/>
        <w:gridCol w:w="2556"/>
        <w:gridCol w:w="2556"/>
      </w:tblGrid>
      <w:tr>
        <w:trPr>
          <w:tblHeader w:val="true"/>
          <w:cantSplit/>
        </w:trPr>
        <w:tc>
          <w:tcPr>
            <w:tcW w:type="dxa" w:w="2556"/>
            <w:shd w:fill="D9EAF7"/>
          </w:tcPr>
          <w:p>
            <w:r>
              <w:rPr>
                <w:sz w:val="17"/>
              </w:rPr>
            </w:r>
            <w:r>
              <w:rPr>
                <w:b/>
                <w:sz w:val="17"/>
              </w:rPr>
              <w:t>BHL heading</w:t>
            </w:r>
          </w:p>
        </w:tc>
        <w:tc>
          <w:tcPr>
            <w:tcW w:type="dxa" w:w="2556"/>
            <w:shd w:fill="D9EAF7"/>
          </w:tcPr>
          <w:p>
            <w:r>
              <w:rPr>
                <w:sz w:val="17"/>
              </w:rPr>
            </w:r>
            <w:r>
              <w:rPr>
                <w:b/>
                <w:sz w:val="17"/>
              </w:rPr>
              <w:t>Consideration</w:t>
            </w:r>
          </w:p>
        </w:tc>
        <w:tc>
          <w:tcPr>
            <w:tcW w:type="dxa" w:w="2556"/>
            <w:shd w:fill="D9EAF7"/>
          </w:tcPr>
          <w:p>
            <w:r>
              <w:rPr>
                <w:sz w:val="17"/>
              </w:rPr>
            </w:r>
            <w:r>
              <w:rPr>
                <w:b/>
                <w:sz w:val="17"/>
              </w:rPr>
              <w:t>Rating</w:t>
            </w:r>
          </w:p>
        </w:tc>
        <w:tc>
          <w:tcPr>
            <w:tcW w:type="dxa" w:w="2556"/>
            <w:shd w:fill="D9EAF7"/>
          </w:tcPr>
          <w:p>
            <w:r>
              <w:rPr>
                <w:sz w:val="17"/>
              </w:rPr>
            </w:r>
            <w:r>
              <w:rPr>
                <w:b/>
                <w:sz w:val="17"/>
              </w:rPr>
              <w:t>Summary</w:t>
            </w:r>
          </w:p>
        </w:tc>
      </w:tr>
      <w:tr>
        <w:trPr>
          <w:cantSplit/>
        </w:trPr>
        <w:tc>
          <w:tcPr>
            <w:tcW w:type="dxa" w:w="2556"/>
          </w:tcPr>
          <w:p>
            <w:r>
              <w:rPr>
                <w:sz w:val="17"/>
              </w:rPr>
            </w:r>
            <w:r>
              <w:rPr>
                <w:b w:val="0"/>
                <w:sz w:val="17"/>
              </w:rPr>
              <w:t>Integrated neighbourhoods</w:t>
            </w:r>
          </w:p>
        </w:tc>
        <w:tc>
          <w:tcPr>
            <w:tcW w:type="dxa" w:w="2556"/>
          </w:tcPr>
          <w:p>
            <w:r>
              <w:rPr>
                <w:sz w:val="17"/>
              </w:rPr>
            </w:r>
            <w:r>
              <w:rPr>
                <w:b w:val="0"/>
                <w:sz w:val="17"/>
              </w:rPr>
              <w:t>1. Natural connections</w:t>
            </w:r>
          </w:p>
        </w:tc>
        <w:tc>
          <w:tcPr>
            <w:tcW w:type="dxa" w:w="2556"/>
            <w:shd w:fill="FFEB9C"/>
          </w:tcPr>
          <w:p>
            <w:r>
              <w:rPr>
                <w:sz w:val="17"/>
              </w:rPr>
            </w:r>
            <w:r>
              <w:rPr>
                <w:b w:val="0"/>
                <w:sz w:val="17"/>
              </w:rPr>
              <w:t>Amber</w:t>
            </w:r>
          </w:p>
        </w:tc>
        <w:tc>
          <w:tcPr>
            <w:tcW w:type="dxa" w:w="2556"/>
          </w:tcPr>
          <w:p>
            <w:r>
              <w:rPr>
                <w:sz w:val="17"/>
              </w:rPr>
            </w:r>
            <w:r>
              <w:rPr>
                <w:b w:val="0"/>
                <w:sz w:val="17"/>
              </w:rPr>
              <w:t>Landscape, gardens and green edges are proposed, but wider green/cycle/pedestrian connections are constrained by the site boundary, topography, existing infrastructure and the M1/AQMA context.</w:t>
            </w:r>
          </w:p>
        </w:tc>
      </w:tr>
      <w:tr>
        <w:trPr>
          <w:cantSplit/>
        </w:trPr>
        <w:tc>
          <w:tcPr>
            <w:tcW w:type="dxa" w:w="2556"/>
          </w:tcPr>
          <w:p>
            <w:r>
              <w:rPr>
                <w:sz w:val="17"/>
              </w:rPr>
            </w:r>
            <w:r>
              <w:rPr>
                <w:b w:val="0"/>
                <w:sz w:val="17"/>
              </w:rPr>
              <w:t>Integrated neighbourhoods</w:t>
            </w:r>
          </w:p>
        </w:tc>
        <w:tc>
          <w:tcPr>
            <w:tcW w:type="dxa" w:w="2556"/>
          </w:tcPr>
          <w:p>
            <w:r>
              <w:rPr>
                <w:sz w:val="17"/>
              </w:rPr>
            </w:r>
            <w:r>
              <w:rPr>
                <w:b w:val="0"/>
                <w:sz w:val="17"/>
              </w:rPr>
              <w:t>2. Getting around</w:t>
            </w:r>
          </w:p>
        </w:tc>
        <w:tc>
          <w:tcPr>
            <w:tcW w:type="dxa" w:w="2556"/>
            <w:shd w:fill="FFEB9C"/>
          </w:tcPr>
          <w:p>
            <w:r>
              <w:rPr>
                <w:sz w:val="17"/>
              </w:rPr>
            </w:r>
            <w:r>
              <w:rPr>
                <w:b w:val="0"/>
                <w:sz w:val="17"/>
              </w:rPr>
              <w:t>Amber/Green</w:t>
            </w:r>
          </w:p>
        </w:tc>
        <w:tc>
          <w:tcPr>
            <w:tcW w:type="dxa" w:w="2556"/>
          </w:tcPr>
          <w:p>
            <w:r>
              <w:rPr>
                <w:sz w:val="17"/>
              </w:rPr>
            </w:r>
            <w:r>
              <w:rPr>
                <w:b w:val="0"/>
                <w:sz w:val="17"/>
              </w:rPr>
              <w:t>The site is in a sustainable settlement location and connects directly to Sheffield Road. Detailed surfacing, pedestrian priority and cycle provision should be confirmed.</w:t>
            </w:r>
          </w:p>
        </w:tc>
      </w:tr>
      <w:tr>
        <w:trPr>
          <w:cantSplit/>
        </w:trPr>
        <w:tc>
          <w:tcPr>
            <w:tcW w:type="dxa" w:w="2556"/>
          </w:tcPr>
          <w:p>
            <w:r>
              <w:rPr>
                <w:sz w:val="17"/>
              </w:rPr>
            </w:r>
            <w:r>
              <w:rPr>
                <w:b w:val="0"/>
                <w:sz w:val="17"/>
              </w:rPr>
              <w:t>Integrated neighbourhoods</w:t>
            </w:r>
          </w:p>
        </w:tc>
        <w:tc>
          <w:tcPr>
            <w:tcW w:type="dxa" w:w="2556"/>
          </w:tcPr>
          <w:p>
            <w:r>
              <w:rPr>
                <w:sz w:val="17"/>
              </w:rPr>
            </w:r>
            <w:r>
              <w:rPr>
                <w:b w:val="0"/>
                <w:sz w:val="17"/>
              </w:rPr>
              <w:t>3. Facilities, services and stewardship</w:t>
            </w:r>
          </w:p>
        </w:tc>
        <w:tc>
          <w:tcPr>
            <w:tcW w:type="dxa" w:w="2556"/>
            <w:shd w:fill="C6EFCE"/>
          </w:tcPr>
          <w:p>
            <w:r>
              <w:rPr>
                <w:sz w:val="17"/>
              </w:rPr>
            </w:r>
            <w:r>
              <w:rPr>
                <w:b w:val="0"/>
                <w:sz w:val="17"/>
              </w:rPr>
              <w:t>Green</w:t>
            </w:r>
          </w:p>
        </w:tc>
        <w:tc>
          <w:tcPr>
            <w:tcW w:type="dxa" w:w="2556"/>
          </w:tcPr>
          <w:p>
            <w:r>
              <w:rPr>
                <w:sz w:val="17"/>
              </w:rPr>
            </w:r>
            <w:r>
              <w:rPr>
                <w:b w:val="0"/>
                <w:sz w:val="17"/>
              </w:rPr>
              <w:t>The proposal supports existing facilities and services in Birdwell. Long-term maintenance of shared access, drainage and landscaping should be confirmed.</w:t>
            </w:r>
          </w:p>
        </w:tc>
      </w:tr>
      <w:tr>
        <w:trPr>
          <w:cantSplit/>
        </w:trPr>
        <w:tc>
          <w:tcPr>
            <w:tcW w:type="dxa" w:w="2556"/>
          </w:tcPr>
          <w:p>
            <w:r>
              <w:rPr>
                <w:sz w:val="17"/>
              </w:rPr>
            </w:r>
            <w:r>
              <w:rPr>
                <w:b w:val="0"/>
                <w:sz w:val="17"/>
              </w:rPr>
              <w:t>Integrated neighbourhoods</w:t>
            </w:r>
          </w:p>
        </w:tc>
        <w:tc>
          <w:tcPr>
            <w:tcW w:type="dxa" w:w="2556"/>
          </w:tcPr>
          <w:p>
            <w:r>
              <w:rPr>
                <w:sz w:val="17"/>
              </w:rPr>
            </w:r>
            <w:r>
              <w:rPr>
                <w:b w:val="0"/>
                <w:sz w:val="17"/>
              </w:rPr>
              <w:t>4. Homes for everyone</w:t>
            </w:r>
          </w:p>
        </w:tc>
        <w:tc>
          <w:tcPr>
            <w:tcW w:type="dxa" w:w="2556"/>
            <w:shd w:fill="FFEB9C"/>
          </w:tcPr>
          <w:p>
            <w:r>
              <w:rPr>
                <w:sz w:val="17"/>
              </w:rPr>
            </w:r>
            <w:r>
              <w:rPr>
                <w:b w:val="0"/>
                <w:sz w:val="17"/>
              </w:rPr>
              <w:t>Amber</w:t>
            </w:r>
          </w:p>
        </w:tc>
        <w:tc>
          <w:tcPr>
            <w:tcW w:type="dxa" w:w="2556"/>
          </w:tcPr>
          <w:p>
            <w:r>
              <w:rPr>
                <w:sz w:val="17"/>
              </w:rPr>
            </w:r>
            <w:r>
              <w:rPr>
                <w:b w:val="0"/>
                <w:sz w:val="17"/>
              </w:rPr>
              <w:t>The scheme delivers family housing, but the mix is predominantly 4-bedroom dwellings. This is acceptable given the small site but offers limited tenure/size diversity.</w:t>
            </w:r>
          </w:p>
        </w:tc>
      </w:tr>
      <w:tr>
        <w:trPr>
          <w:cantSplit/>
        </w:trPr>
        <w:tc>
          <w:tcPr>
            <w:tcW w:type="dxa" w:w="2556"/>
          </w:tcPr>
          <w:p>
            <w:r>
              <w:rPr>
                <w:sz w:val="17"/>
              </w:rPr>
            </w:r>
            <w:r>
              <w:rPr>
                <w:b w:val="0"/>
                <w:sz w:val="17"/>
              </w:rPr>
              <w:t>Distinctive places</w:t>
            </w:r>
          </w:p>
        </w:tc>
        <w:tc>
          <w:tcPr>
            <w:tcW w:type="dxa" w:w="2556"/>
          </w:tcPr>
          <w:p>
            <w:r>
              <w:rPr>
                <w:sz w:val="17"/>
              </w:rPr>
            </w:r>
            <w:r>
              <w:rPr>
                <w:b w:val="0"/>
                <w:sz w:val="17"/>
              </w:rPr>
              <w:t>5. Making the most of what is there</w:t>
            </w:r>
          </w:p>
        </w:tc>
        <w:tc>
          <w:tcPr>
            <w:tcW w:type="dxa" w:w="2556"/>
            <w:shd w:fill="C6EFCE"/>
          </w:tcPr>
          <w:p>
            <w:r>
              <w:rPr>
                <w:sz w:val="17"/>
              </w:rPr>
            </w:r>
            <w:r>
              <w:rPr>
                <w:b w:val="0"/>
                <w:sz w:val="17"/>
              </w:rPr>
              <w:t>Green</w:t>
            </w:r>
          </w:p>
        </w:tc>
        <w:tc>
          <w:tcPr>
            <w:tcW w:type="dxa" w:w="2556"/>
          </w:tcPr>
          <w:p>
            <w:r>
              <w:rPr>
                <w:sz w:val="17"/>
              </w:rPr>
            </w:r>
            <w:r>
              <w:rPr>
                <w:b w:val="0"/>
                <w:sz w:val="17"/>
              </w:rPr>
              <w:t>The design responds to allocation HS67, topography, the former railway cutting, the drainage corridor, adjoining properties, the listed Mine Rescue Station and the AQMA.</w:t>
            </w:r>
          </w:p>
        </w:tc>
      </w:tr>
      <w:tr>
        <w:trPr>
          <w:cantSplit/>
        </w:trPr>
        <w:tc>
          <w:tcPr>
            <w:tcW w:type="dxa" w:w="2556"/>
          </w:tcPr>
          <w:p>
            <w:r>
              <w:rPr>
                <w:sz w:val="17"/>
              </w:rPr>
            </w:r>
            <w:r>
              <w:rPr>
                <w:b w:val="0"/>
                <w:sz w:val="17"/>
              </w:rPr>
              <w:t>Distinctive places</w:t>
            </w:r>
          </w:p>
        </w:tc>
        <w:tc>
          <w:tcPr>
            <w:tcW w:type="dxa" w:w="2556"/>
          </w:tcPr>
          <w:p>
            <w:r>
              <w:rPr>
                <w:sz w:val="17"/>
              </w:rPr>
            </w:r>
            <w:r>
              <w:rPr>
                <w:b w:val="0"/>
                <w:sz w:val="17"/>
              </w:rPr>
              <w:t>6. A memorable character</w:t>
            </w:r>
          </w:p>
        </w:tc>
        <w:tc>
          <w:tcPr>
            <w:tcW w:type="dxa" w:w="2556"/>
            <w:shd w:fill="C6EFCE"/>
          </w:tcPr>
          <w:p>
            <w:r>
              <w:rPr>
                <w:sz w:val="17"/>
              </w:rPr>
            </w:r>
            <w:r>
              <w:rPr>
                <w:b w:val="0"/>
                <w:sz w:val="17"/>
              </w:rPr>
              <w:t>Green</w:t>
            </w:r>
          </w:p>
        </w:tc>
        <w:tc>
          <w:tcPr>
            <w:tcW w:type="dxa" w:w="2556"/>
          </w:tcPr>
          <w:p>
            <w:r>
              <w:rPr>
                <w:sz w:val="17"/>
              </w:rPr>
            </w:r>
            <w:r>
              <w:rPr>
                <w:b w:val="0"/>
                <w:sz w:val="17"/>
              </w:rPr>
              <w:t>A coherent contemporary domestic character is created through consistent forms, pitched roofs, brick/render palette, feature panels and vertical fenestration.</w:t>
            </w:r>
          </w:p>
        </w:tc>
      </w:tr>
      <w:tr>
        <w:trPr>
          <w:cantSplit/>
        </w:trPr>
        <w:tc>
          <w:tcPr>
            <w:tcW w:type="dxa" w:w="2556"/>
          </w:tcPr>
          <w:p>
            <w:r>
              <w:rPr>
                <w:sz w:val="17"/>
              </w:rPr>
            </w:r>
            <w:r>
              <w:rPr>
                <w:b w:val="0"/>
                <w:sz w:val="17"/>
              </w:rPr>
              <w:t>Distinctive places</w:t>
            </w:r>
          </w:p>
        </w:tc>
        <w:tc>
          <w:tcPr>
            <w:tcW w:type="dxa" w:w="2556"/>
          </w:tcPr>
          <w:p>
            <w:r>
              <w:rPr>
                <w:sz w:val="17"/>
              </w:rPr>
            </w:r>
            <w:r>
              <w:rPr>
                <w:b w:val="0"/>
                <w:sz w:val="17"/>
              </w:rPr>
              <w:t>7. Well-defined streets and spaces</w:t>
            </w:r>
          </w:p>
        </w:tc>
        <w:tc>
          <w:tcPr>
            <w:tcW w:type="dxa" w:w="2556"/>
            <w:shd w:fill="FFEB9C"/>
          </w:tcPr>
          <w:p>
            <w:r>
              <w:rPr>
                <w:sz w:val="17"/>
              </w:rPr>
            </w:r>
            <w:r>
              <w:rPr>
                <w:b w:val="0"/>
                <w:sz w:val="17"/>
              </w:rPr>
              <w:t>Green/Amber</w:t>
            </w:r>
          </w:p>
        </w:tc>
        <w:tc>
          <w:tcPr>
            <w:tcW w:type="dxa" w:w="2556"/>
          </w:tcPr>
          <w:p>
            <w:r>
              <w:rPr>
                <w:sz w:val="17"/>
              </w:rPr>
            </w:r>
            <w:r>
              <w:rPr>
                <w:b w:val="0"/>
                <w:sz w:val="17"/>
              </w:rPr>
              <w:t>Dwellings address the internal street and provide natural surveillance. The final highway, boundary and landscape details should prevent a car-dominated street scene.</w:t>
            </w:r>
          </w:p>
        </w:tc>
      </w:tr>
      <w:tr>
        <w:trPr>
          <w:cantSplit/>
        </w:trPr>
        <w:tc>
          <w:tcPr>
            <w:tcW w:type="dxa" w:w="2556"/>
          </w:tcPr>
          <w:p>
            <w:r>
              <w:rPr>
                <w:sz w:val="17"/>
              </w:rPr>
            </w:r>
            <w:r>
              <w:rPr>
                <w:b w:val="0"/>
                <w:sz w:val="17"/>
              </w:rPr>
              <w:t>Distinctive places</w:t>
            </w:r>
          </w:p>
        </w:tc>
        <w:tc>
          <w:tcPr>
            <w:tcW w:type="dxa" w:w="2556"/>
          </w:tcPr>
          <w:p>
            <w:r>
              <w:rPr>
                <w:sz w:val="17"/>
              </w:rPr>
            </w:r>
            <w:r>
              <w:rPr>
                <w:b w:val="0"/>
                <w:sz w:val="17"/>
              </w:rPr>
              <w:t>8. Easy to find your way around</w:t>
            </w:r>
          </w:p>
        </w:tc>
        <w:tc>
          <w:tcPr>
            <w:tcW w:type="dxa" w:w="2556"/>
            <w:shd w:fill="C6EFCE"/>
          </w:tcPr>
          <w:p>
            <w:r>
              <w:rPr>
                <w:sz w:val="17"/>
              </w:rPr>
            </w:r>
            <w:r>
              <w:rPr>
                <w:b w:val="0"/>
                <w:sz w:val="17"/>
              </w:rPr>
              <w:t>Green</w:t>
            </w:r>
          </w:p>
        </w:tc>
        <w:tc>
          <w:tcPr>
            <w:tcW w:type="dxa" w:w="2556"/>
          </w:tcPr>
          <w:p>
            <w:r>
              <w:rPr>
                <w:sz w:val="17"/>
              </w:rPr>
            </w:r>
            <w:r>
              <w:rPr>
                <w:b w:val="0"/>
                <w:sz w:val="17"/>
              </w:rPr>
              <w:t>The layout is simple and legible, with a clear entrance from Sheffield Road and a single internal residential street.</w:t>
            </w:r>
          </w:p>
        </w:tc>
      </w:tr>
      <w:tr>
        <w:trPr>
          <w:cantSplit/>
        </w:trPr>
        <w:tc>
          <w:tcPr>
            <w:tcW w:type="dxa" w:w="2556"/>
          </w:tcPr>
          <w:p>
            <w:r>
              <w:rPr>
                <w:sz w:val="17"/>
              </w:rPr>
            </w:r>
            <w:r>
              <w:rPr>
                <w:b w:val="0"/>
                <w:sz w:val="17"/>
              </w:rPr>
              <w:t>Streets for all</w:t>
            </w:r>
          </w:p>
        </w:tc>
        <w:tc>
          <w:tcPr>
            <w:tcW w:type="dxa" w:w="2556"/>
          </w:tcPr>
          <w:p>
            <w:r>
              <w:rPr>
                <w:sz w:val="17"/>
              </w:rPr>
            </w:r>
            <w:r>
              <w:rPr>
                <w:b w:val="0"/>
                <w:sz w:val="17"/>
              </w:rPr>
              <w:t>9. Healthy streets</w:t>
            </w:r>
          </w:p>
        </w:tc>
        <w:tc>
          <w:tcPr>
            <w:tcW w:type="dxa" w:w="2556"/>
            <w:shd w:fill="FFEB9C"/>
          </w:tcPr>
          <w:p>
            <w:r>
              <w:rPr>
                <w:sz w:val="17"/>
              </w:rPr>
            </w:r>
            <w:r>
              <w:rPr>
                <w:b w:val="0"/>
                <w:sz w:val="17"/>
              </w:rPr>
              <w:t>Amber</w:t>
            </w:r>
          </w:p>
        </w:tc>
        <w:tc>
          <w:tcPr>
            <w:tcW w:type="dxa" w:w="2556"/>
          </w:tcPr>
          <w:p>
            <w:r>
              <w:rPr>
                <w:sz w:val="17"/>
              </w:rPr>
            </w:r>
            <w:r>
              <w:rPr>
                <w:b w:val="0"/>
                <w:sz w:val="17"/>
              </w:rPr>
              <w:t>The low-scale internal street has potential to be a calm residential environment. Vehicle speeds, pedestrian priority, lighting and overlooking should be secured in detailed design.</w:t>
            </w:r>
          </w:p>
        </w:tc>
      </w:tr>
      <w:tr>
        <w:trPr>
          <w:cantSplit/>
        </w:trPr>
        <w:tc>
          <w:tcPr>
            <w:tcW w:type="dxa" w:w="2556"/>
          </w:tcPr>
          <w:p>
            <w:r>
              <w:rPr>
                <w:sz w:val="17"/>
              </w:rPr>
            </w:r>
            <w:r>
              <w:rPr>
                <w:b w:val="0"/>
                <w:sz w:val="17"/>
              </w:rPr>
              <w:t>Streets for all</w:t>
            </w:r>
          </w:p>
        </w:tc>
        <w:tc>
          <w:tcPr>
            <w:tcW w:type="dxa" w:w="2556"/>
          </w:tcPr>
          <w:p>
            <w:r>
              <w:rPr>
                <w:sz w:val="17"/>
              </w:rPr>
            </w:r>
            <w:r>
              <w:rPr>
                <w:b w:val="0"/>
                <w:sz w:val="17"/>
              </w:rPr>
              <w:t>10. Cycle and car parking</w:t>
            </w:r>
          </w:p>
        </w:tc>
        <w:tc>
          <w:tcPr>
            <w:tcW w:type="dxa" w:w="2556"/>
            <w:shd w:fill="FFEB9C"/>
          </w:tcPr>
          <w:p>
            <w:r>
              <w:rPr>
                <w:sz w:val="17"/>
              </w:rPr>
            </w:r>
            <w:r>
              <w:rPr>
                <w:b w:val="0"/>
                <w:sz w:val="17"/>
              </w:rPr>
              <w:t>Amber</w:t>
            </w:r>
          </w:p>
        </w:tc>
        <w:tc>
          <w:tcPr>
            <w:tcW w:type="dxa" w:w="2556"/>
          </w:tcPr>
          <w:p>
            <w:r>
              <w:rPr>
                <w:sz w:val="17"/>
              </w:rPr>
            </w:r>
            <w:r>
              <w:rPr>
                <w:b w:val="0"/>
                <w:sz w:val="17"/>
              </w:rPr>
              <w:t>Car parking is largely contained within private plots, reducing unmanaged street parking. Secure cycle storage, EV charging and refuse storage should be specified.</w:t>
            </w:r>
          </w:p>
        </w:tc>
      </w:tr>
      <w:tr>
        <w:trPr>
          <w:cantSplit/>
        </w:trPr>
        <w:tc>
          <w:tcPr>
            <w:tcW w:type="dxa" w:w="2556"/>
          </w:tcPr>
          <w:p>
            <w:r>
              <w:rPr>
                <w:sz w:val="17"/>
              </w:rPr>
            </w:r>
            <w:r>
              <w:rPr>
                <w:b w:val="0"/>
                <w:sz w:val="17"/>
              </w:rPr>
              <w:t>Streets for all</w:t>
            </w:r>
          </w:p>
        </w:tc>
        <w:tc>
          <w:tcPr>
            <w:tcW w:type="dxa" w:w="2556"/>
          </w:tcPr>
          <w:p>
            <w:r>
              <w:rPr>
                <w:sz w:val="17"/>
              </w:rPr>
            </w:r>
            <w:r>
              <w:rPr>
                <w:b w:val="0"/>
                <w:sz w:val="17"/>
              </w:rPr>
              <w:t>11. Green and blue infrastructure</w:t>
            </w:r>
          </w:p>
        </w:tc>
        <w:tc>
          <w:tcPr>
            <w:tcW w:type="dxa" w:w="2556"/>
            <w:shd w:fill="FFEB9C"/>
          </w:tcPr>
          <w:p>
            <w:r>
              <w:rPr>
                <w:sz w:val="17"/>
              </w:rPr>
            </w:r>
            <w:r>
              <w:rPr>
                <w:b w:val="0"/>
                <w:sz w:val="17"/>
              </w:rPr>
              <w:t>Amber</w:t>
            </w:r>
          </w:p>
        </w:tc>
        <w:tc>
          <w:tcPr>
            <w:tcW w:type="dxa" w:w="2556"/>
          </w:tcPr>
          <w:p>
            <w:r>
              <w:rPr>
                <w:sz w:val="17"/>
              </w:rPr>
            </w:r>
            <w:r>
              <w:rPr>
                <w:b w:val="0"/>
                <w:sz w:val="17"/>
              </w:rPr>
              <w:t>Frontage planting, trees, gardens and drainage measures are proposed. The detailed landscape, SuDS and biodiversity enhancement package should be submitted/conditioned.</w:t>
            </w:r>
          </w:p>
        </w:tc>
      </w:tr>
      <w:tr>
        <w:trPr>
          <w:cantSplit/>
        </w:trPr>
        <w:tc>
          <w:tcPr>
            <w:tcW w:type="dxa" w:w="2556"/>
          </w:tcPr>
          <w:p>
            <w:r>
              <w:rPr>
                <w:sz w:val="17"/>
              </w:rPr>
            </w:r>
            <w:r>
              <w:rPr>
                <w:b w:val="0"/>
                <w:sz w:val="17"/>
              </w:rPr>
              <w:t>Streets for all</w:t>
            </w:r>
          </w:p>
        </w:tc>
        <w:tc>
          <w:tcPr>
            <w:tcW w:type="dxa" w:w="2556"/>
          </w:tcPr>
          <w:p>
            <w:r>
              <w:rPr>
                <w:sz w:val="17"/>
              </w:rPr>
            </w:r>
            <w:r>
              <w:rPr>
                <w:b w:val="0"/>
                <w:sz w:val="17"/>
              </w:rPr>
              <w:t>12. Back of pavement, front of home</w:t>
            </w:r>
          </w:p>
        </w:tc>
        <w:tc>
          <w:tcPr>
            <w:tcW w:type="dxa" w:w="2556"/>
            <w:shd w:fill="FFEB9C"/>
          </w:tcPr>
          <w:p>
            <w:r>
              <w:rPr>
                <w:sz w:val="17"/>
              </w:rPr>
            </w:r>
            <w:r>
              <w:rPr>
                <w:b w:val="0"/>
                <w:sz w:val="17"/>
              </w:rPr>
              <w:t>Green/Amber</w:t>
            </w:r>
          </w:p>
        </w:tc>
        <w:tc>
          <w:tcPr>
            <w:tcW w:type="dxa" w:w="2556"/>
          </w:tcPr>
          <w:p>
            <w:r>
              <w:rPr>
                <w:sz w:val="17"/>
              </w:rPr>
            </w:r>
            <w:r>
              <w:rPr>
                <w:b w:val="0"/>
                <w:sz w:val="17"/>
              </w:rPr>
              <w:t>The drawings show landscaped thresholds and defensible space. Final boundary treatments, bin locations and meter/utility positions should reinforce the residential character.</w:t>
            </w:r>
          </w:p>
        </w:tc>
      </w:tr>
    </w:tbl>
    <w:p>
      <w:r>
        <w:t>Overall assessment: no red ratings are identified. The scheme is considered acceptable in BHL terms, subject to the detailed matters identified in this assessment being secured through the planning submission or by appropriately worded conditions.</w:t>
      </w:r>
    </w:p>
    <w:p>
      <w:pPr>
        <w:pStyle w:val="Heading1"/>
      </w:pPr>
      <w:r>
        <w:t>5. Detailed assessment</w:t>
      </w:r>
    </w:p>
    <w:p>
      <w:pPr>
        <w:pStyle w:val="Heading2"/>
      </w:pPr>
      <w:r>
        <w:t>1. Natural connections</w:t>
      </w:r>
    </w:p>
    <w:p>
      <w:r>
        <w:t>The site is constrained by its edge condition, the former railway cutting, existing drainage infrastructure and the M1 corridor. The proposal nonetheless includes landscaped frontages, gardens and green edges which can provide ecological and amenity value.</w:t>
      </w:r>
    </w:p>
    <w:p>
      <w:r>
        <w:t>Recommendation: strengthen the submission with a coordinated landscape and biodiversity plan showing native planting, street trees, boundary hedging, bat/bird boxes and any SuDS planting.</w:t>
      </w:r>
    </w:p>
    <w:p>
      <w:pPr>
        <w:pStyle w:val="Heading2"/>
      </w:pPr>
      <w:r>
        <w:t>2. Getting around</w:t>
      </w:r>
    </w:p>
    <w:p>
      <w:r>
        <w:t>The access from Sheffield Road is direct and legible. The location gives residents access to local services, employment and public transport opportunities in Birdwell.</w:t>
      </w:r>
    </w:p>
    <w:p>
      <w:r>
        <w:t>Recommendation: confirm pedestrian priority within the internal street, dropped kerbs/tactile paving where required, refuse access, emergency access and safe surfacing details.</w:t>
      </w:r>
    </w:p>
    <w:p>
      <w:pPr>
        <w:pStyle w:val="Heading2"/>
      </w:pPr>
      <w:r>
        <w:t>3. Facilities, services and stewardship</w:t>
      </w:r>
    </w:p>
    <w:p>
      <w:r>
        <w:t>The development will support the existing settlement rather than create an isolated estate. For a 10-dwelling scheme, on-site facilities are not expected.</w:t>
      </w:r>
    </w:p>
    <w:p>
      <w:r>
        <w:t>Recommendation: provide a simple maintenance note for shared access, drainage features, landscaped margins and any communal infrastructure.</w:t>
      </w:r>
    </w:p>
    <w:p>
      <w:pPr>
        <w:pStyle w:val="Heading2"/>
      </w:pPr>
      <w:r>
        <w:t>4. Homes for everyone</w:t>
      </w:r>
    </w:p>
    <w:p>
      <w:r>
        <w:t>The proposal provides substantial family homes with private gardens and parking. The house types include studies and flexible accommodation suitable for family occupation and home working.</w:t>
      </w:r>
    </w:p>
    <w:p>
      <w:r>
        <w:t>Recommendation: if requested by the LPA, address tenure and affordable housing separately in the planning statement/viability position.</w:t>
      </w:r>
    </w:p>
    <w:p>
      <w:pPr>
        <w:pStyle w:val="Heading2"/>
      </w:pPr>
      <w:r>
        <w:t>5. Making the most of what is there</w:t>
      </w:r>
    </w:p>
    <w:p>
      <w:r>
        <w:t>The scheme makes effective use of an allocated housing site and responds to the gradient through stepped levels and split-level plots.</w:t>
      </w:r>
    </w:p>
    <w:p>
      <w:r>
        <w:t>The listed Mine Rescue Station and the AQMA are recognised as contextual constraints and should continue to be cross-referenced to the heritage and air quality submissions.</w:t>
      </w:r>
    </w:p>
    <w:p>
      <w:pPr>
        <w:pStyle w:val="Heading2"/>
      </w:pPr>
      <w:r>
        <w:t>6. A memorable character</w:t>
      </w:r>
    </w:p>
    <w:p>
      <w:r>
        <w:t>The architecture is restrained and domestic, using simple pitched forms, brick, render/feature panels and contemporary fenestration.</w:t>
      </w:r>
    </w:p>
    <w:p>
      <w:r>
        <w:t>Recommendation: submit or accept a condition requiring final facing brick, roof tile, window, door, garage door and rainwater goods details.</w:t>
      </w:r>
    </w:p>
    <w:p>
      <w:pPr>
        <w:pStyle w:val="Heading2"/>
      </w:pPr>
      <w:r>
        <w:t>7. Well-defined streets and spaces</w:t>
      </w:r>
    </w:p>
    <w:p>
      <w:r>
        <w:t>Front elevations and entrances face the internal access, giving enclosure, defensible space and passive surveillance.</w:t>
      </w:r>
    </w:p>
    <w:p>
      <w:r>
        <w:t>Recommendation: ensure driveways, visitor parking, landscaping and boundaries do not erode the quality of the street.</w:t>
      </w:r>
    </w:p>
    <w:p>
      <w:pPr>
        <w:pStyle w:val="Heading2"/>
      </w:pPr>
      <w:r>
        <w:t>8. Easy to find your way around</w:t>
      </w:r>
    </w:p>
    <w:p>
      <w:r>
        <w:t>The street layout is simple, with a clear arrival point from Sheffield Road and plots arranged in a logical sequence.</w:t>
      </w:r>
    </w:p>
    <w:p>
      <w:r>
        <w:t>Recommendation: plot numbering, lighting and boundary treatments should be straightforward and not visually cluttered.</w:t>
      </w:r>
    </w:p>
    <w:p>
      <w:pPr>
        <w:pStyle w:val="Heading2"/>
      </w:pPr>
      <w:r>
        <w:t>9. Healthy streets</w:t>
      </w:r>
    </w:p>
    <w:p>
      <w:r>
        <w:t>The scale of the development allows a low-speed residential environment. The street should feel like a shared residential space rather than a standard vehicular access.</w:t>
      </w:r>
    </w:p>
    <w:p>
      <w:r>
        <w:t>Recommendation: use surface materials, narrowing/deflection, planting and frontage design to reinforce low speeds and pedestrian comfort.</w:t>
      </w:r>
    </w:p>
    <w:p>
      <w:pPr>
        <w:pStyle w:val="Heading2"/>
      </w:pPr>
      <w:r>
        <w:t>10. Cycle and car parking</w:t>
      </w:r>
    </w:p>
    <w:p>
      <w:r>
        <w:t>Parking is primarily within private plots, which should prevent uncontrolled parking within the shared street. Garages should be usable for storage/cycles as well as vehicles where relied upon.</w:t>
      </w:r>
    </w:p>
    <w:p>
      <w:r>
        <w:t>Recommendation: identify secure cycle storage for each dwelling, EV charging provision and refuse collection points.</w:t>
      </w:r>
    </w:p>
    <w:p>
      <w:pPr>
        <w:pStyle w:val="Heading2"/>
      </w:pPr>
      <w:r>
        <w:t>11. Green and blue infrastructure</w:t>
      </w:r>
    </w:p>
    <w:p>
      <w:r>
        <w:t>The scheme has opportunities for linked planting, gardens, street trees and drainage integration. This is important because the site contains existing drainage infrastructure and a proposed diversion.</w:t>
      </w:r>
    </w:p>
    <w:p>
      <w:r>
        <w:t>Recommendation: prepare a detailed landscape/SuDS/biodiversity schedule, including tree species, establishment specification and long-term maintenance.</w:t>
      </w:r>
    </w:p>
    <w:p>
      <w:pPr>
        <w:pStyle w:val="Heading2"/>
      </w:pPr>
      <w:r>
        <w:t>12. Back of pavement, front of home</w:t>
      </w:r>
    </w:p>
    <w:p>
      <w:r>
        <w:t>The proposed frontage landscaping helps soften the transition between the internal street and private homes.</w:t>
      </w:r>
    </w:p>
    <w:p>
      <w:r>
        <w:t>Recommendation: confirm front boundary treatments, refuse/bin storage, utility meters and lighting so that the front-of-home condition remains attractive and uncluttered.</w:t>
      </w:r>
    </w:p>
    <w:p>
      <w:pPr>
        <w:pStyle w:val="Heading1"/>
      </w:pPr>
      <w:r>
        <w:t>6. Recommended validation/condition items</w:t>
      </w:r>
    </w:p>
    <w:p>
      <w:pPr>
        <w:pStyle w:val="ListBullet"/>
      </w:pPr>
      <w:r>
        <w:t>Final external materials schedule.</w:t>
      </w:r>
    </w:p>
    <w:p>
      <w:pPr>
        <w:pStyle w:val="ListBullet"/>
      </w:pPr>
      <w:r>
        <w:t>Hard and soft landscaping plan, including street trees and private frontage planting.</w:t>
      </w:r>
    </w:p>
    <w:p>
      <w:pPr>
        <w:pStyle w:val="ListBullet"/>
      </w:pPr>
      <w:r>
        <w:t>Biodiversity enhancement details and any BNG/HMMP requirements.</w:t>
      </w:r>
    </w:p>
    <w:p>
      <w:pPr>
        <w:pStyle w:val="ListBullet"/>
      </w:pPr>
      <w:r>
        <w:t>Drainage/SuDS details and maintenance responsibilities.</w:t>
      </w:r>
    </w:p>
    <w:p>
      <w:pPr>
        <w:pStyle w:val="ListBullet"/>
      </w:pPr>
      <w:r>
        <w:t>Cycle storage, EV charging and refuse storage strategy.</w:t>
      </w:r>
    </w:p>
    <w:p>
      <w:pPr>
        <w:pStyle w:val="ListBullet"/>
      </w:pPr>
      <w:r>
        <w:t>Internal access surfacing, lighting and traffic-calming details.</w:t>
      </w:r>
    </w:p>
    <w:p>
      <w:pPr>
        <w:pStyle w:val="ListBullet"/>
      </w:pPr>
      <w:r>
        <w:t>Boundary treatment plan.</w:t>
      </w:r>
    </w:p>
    <w:p>
      <w:pPr>
        <w:pStyle w:val="ListBullet"/>
      </w:pPr>
      <w:r>
        <w:t>Management and maintenance statement for shared infrastructure.</w:t>
      </w:r>
    </w:p>
    <w:p>
      <w:pPr>
        <w:pStyle w:val="Heading1"/>
      </w:pPr>
      <w:r>
        <w:t>7. Conclusion</w:t>
      </w:r>
    </w:p>
    <w:p>
      <w:r>
        <w:t>The proposed development performs positively against the Building for a Healthy Life considerations when assessed proportionately for a 10-dwelling site. The scheme makes effective use of an allocated site, responds to topography, provides a coherent domestic character and creates a legible internal residential street. No fundamental BHL conflicts are identified. The main matters requiring further detail relate to active travel/cycle storage, green and blue infrastructure, landscaping, drainage, refuse/EV provision and long-term maintenance.</w:t>
      </w:r>
    </w:p>
    <w:p>
      <w:pPr>
        <w:pStyle w:val="Heading1"/>
      </w:pPr>
      <w:r>
        <w:t>References and source material</w:t>
      </w:r>
    </w:p>
    <w:p>
      <w:pPr>
        <w:pStyle w:val="ListBullet"/>
      </w:pPr>
      <w:r>
        <w:t>Design and Access Statement, Proposed Residential Development at Sheffield Road, Birdwell, Barnsley (Site HS67), White Agus Ltd, January 2025.</w:t>
      </w:r>
    </w:p>
    <w:p>
      <w:pPr>
        <w:pStyle w:val="ListBullet"/>
      </w:pPr>
      <w:r>
        <w:t>National Design Guide Assessment, Proposed Residential Development, Land at Sheffield Road, Birdwell, Barnsley, White Agus Ltd, June 2026.</w:t>
      </w:r>
    </w:p>
    <w:p>
      <w:pPr>
        <w:pStyle w:val="ListBullet"/>
      </w:pPr>
      <w:r>
        <w:t>Drawing 24-057-01C, Site Plan, White Agus Ltd.</w:t>
      </w:r>
    </w:p>
    <w:p>
      <w:pPr>
        <w:pStyle w:val="ListBullet"/>
      </w:pPr>
      <w:r>
        <w:t>House type drawings for Plots 1-3, Plots 4-7 and Plots 8-10, White Agus Ltd.</w:t>
      </w:r>
    </w:p>
    <w:p>
      <w:pPr>
        <w:pStyle w:val="ListBullet"/>
      </w:pPr>
      <w:r>
        <w:t>Homes England, Building for a Healthy Life, 2026 edition.</w:t>
      </w:r>
    </w:p>
    <w:p>
      <w:pPr>
        <w:pStyle w:val="ListBullet"/>
      </w:pPr>
      <w:r>
        <w:t>Barnsley Metropolitan Borough Council, Barnsley Local Plan and Sustainable Construction and Climate Change Adaptation SPD.</w:t>
      </w:r>
    </w:p>
    <w:p>
      <w:pPr>
        <w:pStyle w:val="ListBullet"/>
      </w:pPr>
      <w:r>
        <w:t>RICS, Whole Life Carbon Assessment for the Built Environment, global 2nd edition, effective from 1 July 2024.</w:t>
      </w:r>
    </w:p>
    <w:p>
      <w:pPr>
        <w:pStyle w:val="ListBullet"/>
      </w:pPr>
      <w:r>
        <w:t>RIBA 2030 Climate Challenge, Version 2, 2021, used as non-mandatory benchmark context only.</w:t>
      </w:r>
    </w:p>
    <w:sectPr w:rsidR="00FC693F" w:rsidRPr="0006063C" w:rsidSect="00034616">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6" Type="http://schemas.openxmlformats.org/officeDocument/2006/relationships/webSettings" Target="webSettings.xml"/><Relationship Id="rId1"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Building for Life 12 Assessment</FileType1>
    <TaxCatchAll xmlns="f4edfb27-fdcf-4944-9520-fd54d4f1d725" xsi:nil="true"/>
    <_Flow_SignoffStatus xmlns="0cd06ba8-3d0c-4461-b1b9-cc99cc46e70a" xsi:nil="true"/>
    <CategoryDescription xmlns="http://schemas.microsoft.com/sharepoint.v3">15/07/2026</CategoryDescription>
    <Public xmlns="f4edfb27-fdcf-4944-9520-fd54d4f1d725">true</Public>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101D4D8E-89D4-4767-B99A-F43A5DC55105}"/>
</file>

<file path=customXml/itemProps3.xml><?xml version="1.0" encoding="utf-8"?>
<ds:datastoreItem xmlns:ds="http://schemas.openxmlformats.org/officeDocument/2006/customXml" ds:itemID="{81B7E171-623E-4E10-B88C-B95163646706}"/>
</file>

<file path=customXml/itemProps4.xml><?xml version="1.0" encoding="utf-8"?>
<ds:datastoreItem xmlns:ds="http://schemas.openxmlformats.org/officeDocument/2006/customXml" ds:itemID="{A409E759-EB9B-483B-93EB-5FA190B80812}"/>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