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CB8BE" w14:textId="77777777" w:rsidR="006A5219" w:rsidRDefault="00511EBB">
      <w:r>
        <w:rPr>
          <w:rFonts w:ascii="Century Gothic" w:hAnsi="Century Gothic"/>
          <w:b/>
          <w:noProof/>
          <w:lang w:eastAsia="en-GB"/>
        </w:rPr>
        <mc:AlternateContent>
          <mc:Choice Requires="wps">
            <w:drawing>
              <wp:anchor distT="0" distB="0" distL="114300" distR="114300" simplePos="0" relativeHeight="251660288" behindDoc="0" locked="0" layoutInCell="1" allowOverlap="1" wp14:anchorId="40AA0BE0" wp14:editId="5696578E">
                <wp:simplePos x="0" y="0"/>
                <wp:positionH relativeFrom="column">
                  <wp:posOffset>-914400</wp:posOffset>
                </wp:positionH>
                <wp:positionV relativeFrom="paragraph">
                  <wp:posOffset>0</wp:posOffset>
                </wp:positionV>
                <wp:extent cx="7543800" cy="0"/>
                <wp:effectExtent l="0" t="0" r="0" b="0"/>
                <wp:wrapNone/>
                <wp:docPr id="1" name="Straight Connector 5"/>
                <wp:cNvGraphicFramePr/>
                <a:graphic xmlns:a="http://schemas.openxmlformats.org/drawingml/2006/main">
                  <a:graphicData uri="http://schemas.microsoft.com/office/word/2010/wordprocessingShape">
                    <wps:wsp>
                      <wps:cNvCnPr/>
                      <wps:spPr>
                        <a:xfrm>
                          <a:off x="0" y="0"/>
                          <a:ext cx="7543800" cy="0"/>
                        </a:xfrm>
                        <a:prstGeom prst="straightConnector1">
                          <a:avLst/>
                        </a:prstGeom>
                        <a:noFill/>
                        <a:ln w="9528" cap="flat">
                          <a:solidFill>
                            <a:srgbClr val="4A7EBB"/>
                          </a:solidFill>
                          <a:prstDash val="solid"/>
                          <a:miter/>
                        </a:ln>
                      </wps:spPr>
                      <wps:bodyPr/>
                    </wps:wsp>
                  </a:graphicData>
                </a:graphic>
              </wp:anchor>
            </w:drawing>
          </mc:Choice>
          <mc:Fallback xmlns:a="http://schemas.openxmlformats.org/drawingml/2006/main" xmlns:mv="urn:schemas-microsoft-com:mac:vml" xmlns:mo="http://schemas.microsoft.com/office/mac/office/2008/main">
            <w:pict w14:anchorId="0B703DE4">
              <v:shapetype id="_x0000_t32" coordsize="21600,21600" o:oned="t" filled="f" o:spt="32" path="m,l21600,21600e" w14:anchorId="3A5940A3">
                <v:path fillok="f" arrowok="t" o:connecttype="none"/>
                <o:lock v:ext="edit" shapetype="t"/>
              </v:shapetype>
              <v:shape id="Straight Connector 5" style="position:absolute;margin-left:-1in;margin-top:0;width:594pt;height:0;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">
                <v:stroke joinstyle="miter"/>
              </v:shape>
            </w:pict>
          </mc:Fallback>
        </mc:AlternateContent>
      </w:r>
    </w:p>
    <w:p w14:paraId="2D882B8A" w14:textId="33952CFD" w:rsidR="006A5219" w:rsidRDefault="00CC28A6">
      <w:pPr>
        <w:pStyle w:val="ListParagraph"/>
        <w:numPr>
          <w:ilvl w:val="0"/>
          <w:numId w:val="1"/>
        </w:numPr>
        <w:rPr>
          <w:rFonts w:ascii="Century Gothic" w:hAnsi="Century Gothic"/>
          <w:b/>
        </w:rPr>
      </w:pPr>
      <w:r>
        <w:rPr>
          <w:rFonts w:ascii="Century Gothic" w:hAnsi="Century Gothic"/>
          <w:b/>
        </w:rPr>
        <w:t>INTRODUCTION</w:t>
      </w:r>
    </w:p>
    <w:p w14:paraId="49C01669" w14:textId="263832AB" w:rsidR="006A5219" w:rsidRDefault="00F450AF" w:rsidP="00960920">
      <w:pPr>
        <w:pStyle w:val="NoSpacing"/>
        <w:numPr>
          <w:ilvl w:val="1"/>
          <w:numId w:val="2"/>
        </w:numPr>
        <w:jc w:val="both"/>
        <w:rPr>
          <w:rFonts w:ascii="Century Gothic" w:hAnsi="Century Gothic"/>
        </w:rPr>
      </w:pPr>
      <w:r>
        <w:rPr>
          <w:rFonts w:ascii="Century Gothic" w:hAnsi="Century Gothic"/>
        </w:rPr>
        <w:t xml:space="preserve">This assessment report has been prepared to support planning Application reference 2020|0516.  An outline planning Application for the construction of two detached dwellings, which will have an impact on the existing trees on </w:t>
      </w:r>
      <w:proofErr w:type="gramStart"/>
      <w:r>
        <w:rPr>
          <w:rFonts w:ascii="Century Gothic" w:hAnsi="Century Gothic"/>
        </w:rPr>
        <w:t>site.</w:t>
      </w:r>
      <w:r w:rsidR="00703FAD">
        <w:rPr>
          <w:rFonts w:ascii="Century Gothic" w:hAnsi="Century Gothic"/>
        </w:rPr>
        <w:t>.</w:t>
      </w:r>
      <w:proofErr w:type="gramEnd"/>
      <w:r w:rsidR="00703FAD">
        <w:rPr>
          <w:rFonts w:ascii="Century Gothic" w:hAnsi="Century Gothic"/>
        </w:rPr>
        <w:t xml:space="preserve"> </w:t>
      </w:r>
    </w:p>
    <w:p w14:paraId="2115F5E4" w14:textId="77777777" w:rsidR="00960920" w:rsidRPr="00960920" w:rsidRDefault="00960920" w:rsidP="00960920">
      <w:pPr>
        <w:pStyle w:val="NoSpacing"/>
        <w:ind w:left="720"/>
        <w:jc w:val="both"/>
        <w:rPr>
          <w:rFonts w:ascii="Century Gothic" w:hAnsi="Century Gothic"/>
        </w:rPr>
      </w:pPr>
    </w:p>
    <w:p w14:paraId="4F6A085A" w14:textId="60F447A3" w:rsidR="006A5219" w:rsidRDefault="00511EBB" w:rsidP="1670141B">
      <w:pPr>
        <w:ind w:left="720" w:hanging="720"/>
        <w:jc w:val="both"/>
        <w:rPr>
          <w:rFonts w:ascii="Century Gothic" w:hAnsi="Century Gothic"/>
        </w:rPr>
      </w:pPr>
      <w:r>
        <w:rPr>
          <w:rFonts w:ascii="Century Gothic" w:hAnsi="Century Gothic"/>
        </w:rPr>
        <w:t xml:space="preserve">1.2      </w:t>
      </w:r>
      <w:r>
        <w:rPr>
          <w:rFonts w:ascii="Century Gothic" w:hAnsi="Century Gothic"/>
        </w:rPr>
        <w:tab/>
      </w:r>
      <w:r w:rsidR="00F450AF">
        <w:rPr>
          <w:rFonts w:ascii="Century Gothic" w:hAnsi="Century Gothic"/>
        </w:rPr>
        <w:t>None of the trees on the application site are the subjection of preservation orders</w:t>
      </w:r>
      <w:r w:rsidR="00703FAD">
        <w:rPr>
          <w:rFonts w:ascii="Century Gothic" w:hAnsi="Century Gothic"/>
        </w:rPr>
        <w:t xml:space="preserve">. </w:t>
      </w:r>
    </w:p>
    <w:p w14:paraId="04040D3D" w14:textId="77777777" w:rsidR="00CC28A6" w:rsidRDefault="00CC28A6">
      <w:pPr>
        <w:rPr>
          <w:rFonts w:ascii="Century Gothic" w:hAnsi="Century Gothic"/>
          <w:b/>
        </w:rPr>
      </w:pPr>
    </w:p>
    <w:p w14:paraId="74B6356D" w14:textId="1B8B38FC" w:rsidR="006A5219" w:rsidRDefault="00703FAD" w:rsidP="1670141B">
      <w:pPr>
        <w:rPr>
          <w:rFonts w:ascii="Century Gothic" w:hAnsi="Century Gothic"/>
          <w:b/>
          <w:bCs/>
        </w:rPr>
      </w:pPr>
      <w:r w:rsidRPr="1670141B">
        <w:rPr>
          <w:rFonts w:ascii="Century Gothic" w:hAnsi="Century Gothic"/>
          <w:b/>
          <w:bCs/>
        </w:rPr>
        <w:t>2</w:t>
      </w:r>
      <w:r w:rsidR="009B69C8" w:rsidRPr="1670141B">
        <w:rPr>
          <w:rFonts w:ascii="Century Gothic" w:hAnsi="Century Gothic"/>
          <w:b/>
          <w:bCs/>
        </w:rPr>
        <w:t xml:space="preserve">.0     </w:t>
      </w:r>
      <w:r w:rsidR="009B69C8">
        <w:rPr>
          <w:rFonts w:ascii="Century Gothic" w:hAnsi="Century Gothic"/>
          <w:b/>
        </w:rPr>
        <w:tab/>
      </w:r>
      <w:r w:rsidR="00F450AF">
        <w:rPr>
          <w:rFonts w:ascii="Century Gothic" w:hAnsi="Century Gothic"/>
          <w:b/>
          <w:bCs/>
        </w:rPr>
        <w:t>TREE SURVEY</w:t>
      </w:r>
    </w:p>
    <w:p w14:paraId="589BFB6B" w14:textId="5F1685BE" w:rsidR="009B69C8" w:rsidRDefault="00703FAD" w:rsidP="1670141B">
      <w:pPr>
        <w:ind w:left="720" w:hanging="720"/>
        <w:rPr>
          <w:rFonts w:ascii="Century Gothic" w:hAnsi="Century Gothic"/>
        </w:rPr>
      </w:pPr>
      <w:r>
        <w:rPr>
          <w:rFonts w:ascii="Century Gothic" w:hAnsi="Century Gothic"/>
        </w:rPr>
        <w:t>2</w:t>
      </w:r>
      <w:r w:rsidR="00D601BA">
        <w:rPr>
          <w:rFonts w:ascii="Century Gothic" w:hAnsi="Century Gothic"/>
        </w:rPr>
        <w:t>.</w:t>
      </w:r>
      <w:r w:rsidR="00050B16">
        <w:rPr>
          <w:rFonts w:ascii="Century Gothic" w:hAnsi="Century Gothic"/>
        </w:rPr>
        <w:t xml:space="preserve">1      </w:t>
      </w:r>
      <w:r w:rsidR="00050B16">
        <w:rPr>
          <w:rFonts w:ascii="Century Gothic" w:hAnsi="Century Gothic"/>
        </w:rPr>
        <w:tab/>
      </w:r>
      <w:r w:rsidR="00F450AF">
        <w:rPr>
          <w:rFonts w:ascii="Century Gothic" w:hAnsi="Century Gothic"/>
        </w:rPr>
        <w:t>A schedule of the tree on site is attached at Appendix A.  Tree references are shown on the topographical survey drawing, which is attached at Appendix B</w:t>
      </w:r>
      <w:r w:rsidR="005F4658">
        <w:rPr>
          <w:rFonts w:ascii="Century Gothic" w:hAnsi="Century Gothic"/>
        </w:rPr>
        <w:t>.</w:t>
      </w:r>
    </w:p>
    <w:p w14:paraId="0784EF1F" w14:textId="164812B1" w:rsidR="00C34683" w:rsidRDefault="006E6F75" w:rsidP="1670141B">
      <w:pPr>
        <w:ind w:left="720" w:hanging="720"/>
        <w:rPr>
          <w:rFonts w:ascii="Century Gothic" w:hAnsi="Century Gothic"/>
        </w:rPr>
      </w:pPr>
      <w:r>
        <w:rPr>
          <w:rFonts w:ascii="Century Gothic" w:hAnsi="Century Gothic"/>
        </w:rPr>
        <w:t xml:space="preserve">2.2       </w:t>
      </w:r>
      <w:r w:rsidR="00F450AF">
        <w:rPr>
          <w:rFonts w:ascii="Century Gothic" w:hAnsi="Century Gothic"/>
        </w:rPr>
        <w:t>Species, size, condition and amenity value have been assessed and recorded</w:t>
      </w:r>
      <w:r w:rsidR="00C34683">
        <w:rPr>
          <w:rFonts w:ascii="Century Gothic" w:hAnsi="Century Gothic"/>
        </w:rPr>
        <w:t>.</w:t>
      </w:r>
      <w:r w:rsidR="00F450AF">
        <w:rPr>
          <w:rFonts w:ascii="Century Gothic" w:hAnsi="Century Gothic"/>
        </w:rPr>
        <w:t xml:space="preserve"> This data has informed the design of the site layout so that the impact of the proposed development on amenity can be kept to a minimum.</w:t>
      </w:r>
    </w:p>
    <w:p w14:paraId="6A0635D4" w14:textId="77777777" w:rsidR="00703FAD" w:rsidRDefault="00703FAD" w:rsidP="00703FAD">
      <w:pPr>
        <w:ind w:left="720" w:hanging="720"/>
        <w:rPr>
          <w:rFonts w:ascii="Century Gothic" w:hAnsi="Century Gothic"/>
        </w:rPr>
      </w:pPr>
    </w:p>
    <w:p w14:paraId="5C96E94F" w14:textId="36AEA341" w:rsidR="006A5219" w:rsidRDefault="00703FAD" w:rsidP="1670141B">
      <w:pPr>
        <w:rPr>
          <w:rFonts w:ascii="Century Gothic" w:hAnsi="Century Gothic"/>
          <w:b/>
          <w:bCs/>
        </w:rPr>
      </w:pPr>
      <w:r w:rsidRPr="1670141B">
        <w:rPr>
          <w:rFonts w:ascii="Century Gothic" w:hAnsi="Century Gothic"/>
          <w:b/>
          <w:bCs/>
        </w:rPr>
        <w:t>3</w:t>
      </w:r>
      <w:r w:rsidR="00D601BA" w:rsidRPr="1670141B">
        <w:rPr>
          <w:rFonts w:ascii="Century Gothic" w:hAnsi="Century Gothic"/>
          <w:b/>
          <w:bCs/>
        </w:rPr>
        <w:t>.</w:t>
      </w:r>
      <w:r w:rsidR="00511EBB" w:rsidRPr="1670141B">
        <w:rPr>
          <w:rFonts w:ascii="Century Gothic" w:hAnsi="Century Gothic"/>
          <w:b/>
          <w:bCs/>
        </w:rPr>
        <w:t xml:space="preserve">0     </w:t>
      </w:r>
      <w:r w:rsidR="00511EBB">
        <w:rPr>
          <w:rFonts w:ascii="Century Gothic" w:hAnsi="Century Gothic"/>
          <w:b/>
        </w:rPr>
        <w:tab/>
      </w:r>
      <w:r w:rsidR="00F450AF">
        <w:rPr>
          <w:rFonts w:ascii="Century Gothic" w:hAnsi="Century Gothic"/>
          <w:b/>
          <w:bCs/>
        </w:rPr>
        <w:t>IMPACT ASSESSMENT</w:t>
      </w:r>
    </w:p>
    <w:p w14:paraId="1413FA45" w14:textId="37DD7852" w:rsidR="006A5219" w:rsidRPr="00B727EE" w:rsidRDefault="00703FAD" w:rsidP="00B727EE">
      <w:pPr>
        <w:ind w:left="720" w:hanging="720"/>
        <w:rPr>
          <w:rFonts w:ascii="Century Gothic" w:hAnsi="Century Gothic"/>
        </w:rPr>
      </w:pPr>
      <w:r>
        <w:rPr>
          <w:rFonts w:ascii="Century Gothic" w:hAnsi="Century Gothic"/>
        </w:rPr>
        <w:t>3</w:t>
      </w:r>
      <w:r w:rsidR="00D601BA">
        <w:rPr>
          <w:rFonts w:ascii="Century Gothic" w:hAnsi="Century Gothic"/>
        </w:rPr>
        <w:t>.</w:t>
      </w:r>
      <w:r w:rsidR="00511EBB">
        <w:rPr>
          <w:rFonts w:ascii="Century Gothic" w:hAnsi="Century Gothic"/>
        </w:rPr>
        <w:t xml:space="preserve">1      </w:t>
      </w:r>
      <w:r w:rsidR="00511EBB">
        <w:rPr>
          <w:rFonts w:ascii="Century Gothic" w:hAnsi="Century Gothic"/>
        </w:rPr>
        <w:tab/>
      </w:r>
      <w:r w:rsidR="00B727EE">
        <w:rPr>
          <w:rFonts w:ascii="Century Gothic" w:hAnsi="Century Gothic"/>
        </w:rPr>
        <w:t>It is proposed that a total of 11 trees will be removed to facilities.  These with the exception of trees reference T1 and T4 are immature, cramped and of low amenity value</w:t>
      </w:r>
      <w:r w:rsidR="004177E4">
        <w:rPr>
          <w:rFonts w:ascii="Century Gothic" w:hAnsi="Century Gothic"/>
        </w:rPr>
        <w:t xml:space="preserve">.  </w:t>
      </w:r>
    </w:p>
    <w:p w14:paraId="671B13B8" w14:textId="5E0B35E7" w:rsidR="006A5219" w:rsidRDefault="000B0796" w:rsidP="00B727EE">
      <w:pPr>
        <w:ind w:left="709" w:hanging="709"/>
        <w:rPr>
          <w:rFonts w:ascii="Century Gothic" w:hAnsi="Century Gothic"/>
        </w:rPr>
      </w:pPr>
      <w:r>
        <w:rPr>
          <w:rFonts w:ascii="Century Gothic" w:hAnsi="Century Gothic"/>
        </w:rPr>
        <w:t>3</w:t>
      </w:r>
      <w:r w:rsidR="00643E28">
        <w:rPr>
          <w:rFonts w:ascii="Century Gothic" w:hAnsi="Century Gothic"/>
        </w:rPr>
        <w:t>.</w:t>
      </w:r>
      <w:r w:rsidR="00511EBB">
        <w:rPr>
          <w:rFonts w:ascii="Century Gothic" w:hAnsi="Century Gothic"/>
        </w:rPr>
        <w:t xml:space="preserve">2       </w:t>
      </w:r>
      <w:r w:rsidR="00B727EE">
        <w:rPr>
          <w:rFonts w:ascii="Century Gothic" w:hAnsi="Century Gothic"/>
        </w:rPr>
        <w:t>The proposed dwellings have been sited to minimise the impact of the development.  The close proximity of the retained trees will require the selection of construction techniques which will have the least impact on tree roots.  It is anticipated that piled foundations, which avoid continuous trenching will be employed</w:t>
      </w:r>
      <w:r w:rsidR="00C34683">
        <w:rPr>
          <w:rFonts w:ascii="Century Gothic" w:hAnsi="Century Gothic"/>
        </w:rPr>
        <w:t>.</w:t>
      </w:r>
    </w:p>
    <w:p w14:paraId="33D0BA93" w14:textId="051EDAB2" w:rsidR="002A283C" w:rsidRDefault="000B0796" w:rsidP="00B727EE">
      <w:pPr>
        <w:ind w:left="709" w:hanging="709"/>
        <w:rPr>
          <w:rFonts w:ascii="Century Gothic" w:hAnsi="Century Gothic"/>
        </w:rPr>
      </w:pPr>
      <w:r>
        <w:rPr>
          <w:rFonts w:ascii="Century Gothic" w:hAnsi="Century Gothic"/>
        </w:rPr>
        <w:t>3</w:t>
      </w:r>
      <w:r w:rsidR="00860E49">
        <w:rPr>
          <w:rFonts w:ascii="Century Gothic" w:hAnsi="Century Gothic"/>
        </w:rPr>
        <w:t>.</w:t>
      </w:r>
      <w:r w:rsidR="00511EBB">
        <w:rPr>
          <w:rFonts w:ascii="Century Gothic" w:hAnsi="Century Gothic"/>
        </w:rPr>
        <w:t xml:space="preserve">3       </w:t>
      </w:r>
      <w:r w:rsidR="00B727EE">
        <w:rPr>
          <w:rFonts w:ascii="Century Gothic" w:hAnsi="Century Gothic"/>
        </w:rPr>
        <w:t>All service runs will be routed to avoid root protection zones</w:t>
      </w:r>
      <w:r w:rsidR="1670141B" w:rsidRPr="1670141B">
        <w:rPr>
          <w:rFonts w:ascii="Century Gothic" w:hAnsi="Century Gothic"/>
        </w:rPr>
        <w:t>.</w:t>
      </w:r>
    </w:p>
    <w:p w14:paraId="4280FADC" w14:textId="049E9E81" w:rsidR="004177E4" w:rsidRDefault="000B0796" w:rsidP="00B727EE">
      <w:pPr>
        <w:ind w:left="709" w:hanging="709"/>
        <w:rPr>
          <w:rFonts w:ascii="Century Gothic" w:hAnsi="Century Gothic"/>
        </w:rPr>
      </w:pPr>
      <w:r>
        <w:rPr>
          <w:rFonts w:ascii="Century Gothic" w:hAnsi="Century Gothic"/>
        </w:rPr>
        <w:t>3</w:t>
      </w:r>
      <w:r w:rsidR="00860E49">
        <w:rPr>
          <w:rFonts w:ascii="Century Gothic" w:hAnsi="Century Gothic"/>
        </w:rPr>
        <w:t>.</w:t>
      </w:r>
      <w:r w:rsidR="00511EBB">
        <w:rPr>
          <w:rFonts w:ascii="Century Gothic" w:hAnsi="Century Gothic"/>
        </w:rPr>
        <w:t xml:space="preserve">4       </w:t>
      </w:r>
      <w:r w:rsidR="00B727EE">
        <w:rPr>
          <w:rFonts w:ascii="Century Gothic" w:hAnsi="Century Gothic"/>
        </w:rPr>
        <w:t>A site management plan will be prepared to accompany a reserved matter application.  This will set out the following procedures for the protection of retained trees.</w:t>
      </w:r>
    </w:p>
    <w:p w14:paraId="54337F92" w14:textId="0E7AC0AA" w:rsidR="00B727EE" w:rsidRDefault="00B727EE" w:rsidP="00B727EE">
      <w:pPr>
        <w:pStyle w:val="ListParagraph"/>
        <w:numPr>
          <w:ilvl w:val="0"/>
          <w:numId w:val="10"/>
        </w:numPr>
        <w:rPr>
          <w:rFonts w:ascii="Century Gothic" w:hAnsi="Century Gothic"/>
        </w:rPr>
      </w:pPr>
      <w:r>
        <w:rPr>
          <w:rFonts w:ascii="Century Gothic" w:hAnsi="Century Gothic"/>
        </w:rPr>
        <w:t>Root protection zones will be defined and protected using barriers in accordance with BS 5837:2012.  Construction activities will be excluded from these areas.</w:t>
      </w:r>
    </w:p>
    <w:p w14:paraId="163DF208" w14:textId="51E8EFB8" w:rsidR="00B727EE" w:rsidRDefault="00B727EE" w:rsidP="00B727EE">
      <w:pPr>
        <w:pStyle w:val="ListParagraph"/>
        <w:numPr>
          <w:ilvl w:val="0"/>
          <w:numId w:val="10"/>
        </w:numPr>
        <w:rPr>
          <w:rFonts w:ascii="Century Gothic" w:hAnsi="Century Gothic"/>
        </w:rPr>
      </w:pPr>
      <w:r>
        <w:rPr>
          <w:rFonts w:ascii="Century Gothic" w:hAnsi="Century Gothic"/>
        </w:rPr>
        <w:t>A contractor’s site establishment area will be located away from root protection zones.</w:t>
      </w:r>
    </w:p>
    <w:p w14:paraId="704156FC" w14:textId="70472A23" w:rsidR="00B727EE" w:rsidRDefault="00B727EE" w:rsidP="00B727EE">
      <w:pPr>
        <w:pStyle w:val="ListParagraph"/>
        <w:numPr>
          <w:ilvl w:val="0"/>
          <w:numId w:val="10"/>
        </w:numPr>
        <w:rPr>
          <w:rFonts w:ascii="Century Gothic" w:hAnsi="Century Gothic"/>
        </w:rPr>
      </w:pPr>
      <w:r>
        <w:rPr>
          <w:rFonts w:ascii="Century Gothic" w:hAnsi="Century Gothic"/>
        </w:rPr>
        <w:lastRenderedPageBreak/>
        <w:t>Where access into route protection zones is unavoidable ground protection boards to BS 5837:2012 will be employed.</w:t>
      </w:r>
    </w:p>
    <w:p w14:paraId="75287959" w14:textId="5525F7A8" w:rsidR="00B727EE" w:rsidRDefault="00B727EE" w:rsidP="00B727EE">
      <w:pPr>
        <w:pStyle w:val="ListParagraph"/>
        <w:numPr>
          <w:ilvl w:val="0"/>
          <w:numId w:val="10"/>
        </w:numPr>
        <w:rPr>
          <w:rFonts w:ascii="Century Gothic" w:hAnsi="Century Gothic"/>
        </w:rPr>
      </w:pPr>
      <w:r>
        <w:rPr>
          <w:rFonts w:ascii="Century Gothic" w:hAnsi="Century Gothic"/>
        </w:rPr>
        <w:t>Hard surfaces will employ no dig techniques and will incorporate a terrain cellular confinement system.  These surfaces will be permeable.</w:t>
      </w:r>
    </w:p>
    <w:p w14:paraId="2C9ABDFA" w14:textId="77777777" w:rsidR="00B727EE" w:rsidRPr="00B727EE" w:rsidRDefault="00B727EE" w:rsidP="00B727EE">
      <w:pPr>
        <w:rPr>
          <w:rFonts w:ascii="Century Gothic" w:hAnsi="Century Gothic"/>
        </w:rPr>
      </w:pPr>
    </w:p>
    <w:p w14:paraId="5FA15C8C" w14:textId="1B02390A" w:rsidR="00040A6C" w:rsidRDefault="00040A6C" w:rsidP="00040A6C">
      <w:pPr>
        <w:ind w:left="709" w:hanging="709"/>
        <w:rPr>
          <w:rFonts w:ascii="Century Gothic" w:hAnsi="Century Gothic"/>
          <w:b/>
          <w:bCs/>
        </w:rPr>
      </w:pPr>
      <w:r w:rsidRPr="00CD4D8A">
        <w:rPr>
          <w:rFonts w:ascii="Century Gothic" w:hAnsi="Century Gothic"/>
          <w:b/>
          <w:bCs/>
        </w:rPr>
        <w:t>4.</w:t>
      </w:r>
      <w:r w:rsidR="00CD4D8A" w:rsidRPr="00CD4D8A">
        <w:rPr>
          <w:rFonts w:ascii="Century Gothic" w:hAnsi="Century Gothic"/>
          <w:b/>
          <w:bCs/>
        </w:rPr>
        <w:t>0</w:t>
      </w:r>
      <w:r>
        <w:rPr>
          <w:rFonts w:ascii="Century Gothic" w:hAnsi="Century Gothic"/>
        </w:rPr>
        <w:tab/>
      </w:r>
      <w:r w:rsidR="00CD4D8A">
        <w:rPr>
          <w:rFonts w:ascii="Century Gothic" w:hAnsi="Century Gothic"/>
          <w:b/>
          <w:bCs/>
        </w:rPr>
        <w:t>CONCLUSIONS</w:t>
      </w:r>
    </w:p>
    <w:p w14:paraId="3F53022F" w14:textId="0CD90FE9" w:rsidR="00CD4D8A" w:rsidRDefault="00CD4D8A" w:rsidP="00040A6C">
      <w:pPr>
        <w:ind w:left="709" w:hanging="709"/>
        <w:rPr>
          <w:rFonts w:ascii="Century Gothic" w:hAnsi="Century Gothic"/>
        </w:rPr>
      </w:pPr>
      <w:r>
        <w:rPr>
          <w:rFonts w:ascii="Century Gothic" w:hAnsi="Century Gothic"/>
        </w:rPr>
        <w:t>4.1</w:t>
      </w:r>
      <w:r>
        <w:rPr>
          <w:rFonts w:ascii="Century Gothic" w:hAnsi="Century Gothic"/>
        </w:rPr>
        <w:tab/>
        <w:t>The trees, which have been surveyed were found to be in good condition, however, amenity value varied.</w:t>
      </w:r>
    </w:p>
    <w:p w14:paraId="7E440B0C" w14:textId="11281EE0" w:rsidR="00CD4D8A" w:rsidRDefault="00CD4D8A" w:rsidP="00040A6C">
      <w:pPr>
        <w:ind w:left="709" w:hanging="709"/>
        <w:rPr>
          <w:rFonts w:ascii="Century Gothic" w:hAnsi="Century Gothic"/>
        </w:rPr>
      </w:pPr>
      <w:r>
        <w:rPr>
          <w:rFonts w:ascii="Century Gothic" w:hAnsi="Century Gothic"/>
        </w:rPr>
        <w:t>4.2</w:t>
      </w:r>
      <w:r>
        <w:rPr>
          <w:rFonts w:ascii="Century Gothic" w:hAnsi="Century Gothic"/>
        </w:rPr>
        <w:tab/>
        <w:t>It is proposed to remove a number of trees to facilitate the development, which has been designed to minimise impact on the most significant trees.</w:t>
      </w:r>
    </w:p>
    <w:p w14:paraId="4B3520F6" w14:textId="1CF80309" w:rsidR="00CD4D8A" w:rsidRPr="00CD4D8A" w:rsidRDefault="00CD4D8A" w:rsidP="00040A6C">
      <w:pPr>
        <w:ind w:left="709" w:hanging="709"/>
        <w:rPr>
          <w:rFonts w:ascii="Century Gothic" w:hAnsi="Century Gothic"/>
        </w:rPr>
      </w:pPr>
      <w:r>
        <w:rPr>
          <w:rFonts w:ascii="Century Gothic" w:hAnsi="Century Gothic"/>
        </w:rPr>
        <w:t>4.3</w:t>
      </w:r>
      <w:r>
        <w:rPr>
          <w:rFonts w:ascii="Century Gothic" w:hAnsi="Century Gothic"/>
        </w:rPr>
        <w:tab/>
        <w:t xml:space="preserve">Techniques for the protection of trees during development have been identified.  An </w:t>
      </w:r>
      <w:proofErr w:type="spellStart"/>
      <w:r>
        <w:rPr>
          <w:rFonts w:ascii="Century Gothic" w:hAnsi="Century Gothic"/>
        </w:rPr>
        <w:t>Arboricultural</w:t>
      </w:r>
      <w:proofErr w:type="spellEnd"/>
      <w:r>
        <w:rPr>
          <w:rFonts w:ascii="Century Gothic" w:hAnsi="Century Gothic"/>
        </w:rPr>
        <w:t xml:space="preserve"> method statement will be prepared prior to development.  This will set-out clear guidelines for the protection and preservation of trees during the development process.</w:t>
      </w:r>
    </w:p>
    <w:p w14:paraId="718FD243" w14:textId="577FDFD1" w:rsidR="00CD4D8A" w:rsidRDefault="00040A6C" w:rsidP="00CD4D8A">
      <w:pPr>
        <w:ind w:left="709"/>
      </w:pPr>
      <w:r>
        <w:rPr>
          <w:rFonts w:ascii="Century Gothic" w:hAnsi="Century Gothic"/>
        </w:rPr>
        <w:tab/>
      </w:r>
    </w:p>
    <w:p w14:paraId="5D9BE4EC" w14:textId="3B4DC450" w:rsidR="006A5219" w:rsidRDefault="006A5219"/>
    <w:sectPr w:rsidR="006A5219">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F9012" w14:textId="77777777" w:rsidR="00DE695C" w:rsidRDefault="00DE695C">
      <w:pPr>
        <w:spacing w:after="0" w:line="240" w:lineRule="auto"/>
      </w:pPr>
      <w:r>
        <w:separator/>
      </w:r>
    </w:p>
  </w:endnote>
  <w:endnote w:type="continuationSeparator" w:id="0">
    <w:p w14:paraId="150D3239" w14:textId="77777777" w:rsidR="00DE695C" w:rsidRDefault="00DE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auto"/>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392DD" w14:textId="77777777" w:rsidR="00C30CCA" w:rsidRDefault="00DE695C">
    <w:pPr>
      <w:pStyle w:val="Footer"/>
    </w:pPr>
  </w:p>
  <w:p w14:paraId="1FA5FBFB" w14:textId="1CDE92A3" w:rsidR="00C30CCA" w:rsidRDefault="00511EBB">
    <w:pPr>
      <w:pStyle w:val="Footer"/>
      <w:rPr>
        <w:rFonts w:ascii="Century Gothic" w:hAnsi="Century Gothic"/>
      </w:rPr>
    </w:pPr>
    <w:proofErr w:type="spellStart"/>
    <w:r>
      <w:rPr>
        <w:rFonts w:ascii="Century Gothic" w:hAnsi="Century Gothic"/>
      </w:rPr>
      <w:t>WHpARCHITECTURE</w:t>
    </w:r>
    <w:proofErr w:type="spellEnd"/>
    <w:r>
      <w:rPr>
        <w:rFonts w:ascii="Century Gothic" w:hAnsi="Century Gothic"/>
      </w:rPr>
      <w:tab/>
      <w:t xml:space="preserve">                                                  </w:t>
    </w:r>
    <w:r w:rsidR="00741813">
      <w:rPr>
        <w:rFonts w:ascii="Century Gothic" w:hAnsi="Century Gothic"/>
      </w:rPr>
      <w:t xml:space="preserve">                          </w:t>
    </w:r>
    <w:r w:rsidR="00F450AF">
      <w:rPr>
        <w:rFonts w:ascii="Century Gothic" w:hAnsi="Century Gothic"/>
      </w:rPr>
      <w:t>4103|I|C|18-</w:t>
    </w:r>
    <w:r w:rsidR="00741813">
      <w:rPr>
        <w:rFonts w:ascii="Century Gothic" w:hAnsi="Century Gothic"/>
      </w:rPr>
      <w:t>0</w:t>
    </w:r>
    <w:r w:rsidR="00F450AF">
      <w:rPr>
        <w:rFonts w:ascii="Century Gothic" w:hAnsi="Century Gothic"/>
      </w:rPr>
      <w:t>6</w:t>
    </w:r>
    <w:r w:rsidR="00741813">
      <w:rPr>
        <w:rFonts w:ascii="Century Gothic" w:hAnsi="Century Gothic"/>
      </w:rPr>
      <w:t>-20</w:t>
    </w:r>
    <w:r w:rsidR="00F450AF">
      <w:rPr>
        <w:rFonts w:ascii="Century Gothic" w:hAnsi="Century Gothic"/>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24E64" w14:textId="77777777" w:rsidR="00DE695C" w:rsidRDefault="00DE695C">
      <w:pPr>
        <w:spacing w:after="0" w:line="240" w:lineRule="auto"/>
      </w:pPr>
      <w:r>
        <w:rPr>
          <w:color w:val="000000"/>
        </w:rPr>
        <w:separator/>
      </w:r>
    </w:p>
  </w:footnote>
  <w:footnote w:type="continuationSeparator" w:id="0">
    <w:p w14:paraId="3499AB1E" w14:textId="77777777" w:rsidR="00DE695C" w:rsidRDefault="00DE6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D975" w14:textId="0CDED673" w:rsidR="00C30CCA" w:rsidRDefault="00F450AF">
    <w:pPr>
      <w:pStyle w:val="Header"/>
      <w:rPr>
        <w:rFonts w:ascii="Century Gothic" w:hAnsi="Century Gothic"/>
      </w:rPr>
    </w:pPr>
    <w:r>
      <w:rPr>
        <w:rFonts w:ascii="Century Gothic" w:hAnsi="Century Gothic"/>
      </w:rPr>
      <w:t>STARLING HOUSE, MILLHOUSE GREEN</w:t>
    </w:r>
    <w:r w:rsidR="00CC28A6">
      <w:rPr>
        <w:rFonts w:ascii="Century Gothic" w:hAnsi="Century Gothic"/>
      </w:rPr>
      <w:t xml:space="preserve">; </w:t>
    </w:r>
    <w:r>
      <w:rPr>
        <w:rFonts w:ascii="Century Gothic" w:hAnsi="Century Gothic"/>
      </w:rPr>
      <w:t>TREE IMPACT ASSESSMENT</w:t>
    </w:r>
    <w:r w:rsidR="00741813">
      <w:rPr>
        <w:rFonts w:ascii="Century Gothic" w:hAnsi="Century Gothic"/>
      </w:rPr>
      <w:t xml:space="preserve"> </w:t>
    </w:r>
    <w:r w:rsidR="00741813">
      <w:rPr>
        <w:rFonts w:ascii="Century Gothic" w:hAnsi="Century Gothic"/>
      </w:rPr>
      <w:tab/>
    </w:r>
    <w:r>
      <w:rPr>
        <w:rFonts w:ascii="Century Gothic" w:hAnsi="Century Gothic"/>
      </w:rPr>
      <w:t>June 2020</w:t>
    </w:r>
  </w:p>
  <w:p w14:paraId="6A54674B" w14:textId="77777777" w:rsidR="00C30CCA" w:rsidRDefault="00DE6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65CC"/>
    <w:multiLevelType w:val="hybridMultilevel"/>
    <w:tmpl w:val="FFBC57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44A132A"/>
    <w:multiLevelType w:val="hybridMultilevel"/>
    <w:tmpl w:val="B9BE2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9F0C11"/>
    <w:multiLevelType w:val="hybridMultilevel"/>
    <w:tmpl w:val="3E42C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91951BA"/>
    <w:multiLevelType w:val="hybridMultilevel"/>
    <w:tmpl w:val="358CC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EB3707"/>
    <w:multiLevelType w:val="multilevel"/>
    <w:tmpl w:val="9BF0B184"/>
    <w:lvl w:ilvl="0">
      <w:start w:val="1"/>
      <w:numFmt w:val="decimal"/>
      <w:lvlText w:val="%1.0"/>
      <w:lvlJc w:val="left"/>
      <w:pPr>
        <w:ind w:left="720" w:hanging="720"/>
      </w:pPr>
    </w:lvl>
    <w:lvl w:ilvl="1">
      <w:start w:val="1"/>
      <w:numFmt w:val="decimalZero"/>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 w15:restartNumberingAfterBreak="0">
    <w:nsid w:val="50E9379D"/>
    <w:multiLevelType w:val="hybridMultilevel"/>
    <w:tmpl w:val="6268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103D8"/>
    <w:multiLevelType w:val="hybridMultilevel"/>
    <w:tmpl w:val="4B4E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C597D"/>
    <w:multiLevelType w:val="hybridMultilevel"/>
    <w:tmpl w:val="907EA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1C50E90"/>
    <w:multiLevelType w:val="hybridMultilevel"/>
    <w:tmpl w:val="9586E0A8"/>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9" w15:restartNumberingAfterBreak="0">
    <w:nsid w:val="6FF01C21"/>
    <w:multiLevelType w:val="multilevel"/>
    <w:tmpl w:val="934C51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9"/>
  </w:num>
  <w:num w:numId="3">
    <w:abstractNumId w:val="5"/>
  </w:num>
  <w:num w:numId="4">
    <w:abstractNumId w:val="8"/>
  </w:num>
  <w:num w:numId="5">
    <w:abstractNumId w:val="3"/>
  </w:num>
  <w:num w:numId="6">
    <w:abstractNumId w:val="2"/>
  </w:num>
  <w:num w:numId="7">
    <w:abstractNumId w:val="7"/>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219"/>
    <w:rsid w:val="00040A6C"/>
    <w:rsid w:val="00050B16"/>
    <w:rsid w:val="000552C4"/>
    <w:rsid w:val="000B0796"/>
    <w:rsid w:val="000E52C4"/>
    <w:rsid w:val="00102D73"/>
    <w:rsid w:val="00143BF9"/>
    <w:rsid w:val="00147284"/>
    <w:rsid w:val="0022409E"/>
    <w:rsid w:val="0024033E"/>
    <w:rsid w:val="00240779"/>
    <w:rsid w:val="00262B61"/>
    <w:rsid w:val="002A283C"/>
    <w:rsid w:val="002D40C2"/>
    <w:rsid w:val="004177E4"/>
    <w:rsid w:val="004A2A83"/>
    <w:rsid w:val="004D5588"/>
    <w:rsid w:val="00511EBB"/>
    <w:rsid w:val="005612F3"/>
    <w:rsid w:val="005817BA"/>
    <w:rsid w:val="005E7134"/>
    <w:rsid w:val="005F4658"/>
    <w:rsid w:val="00643E28"/>
    <w:rsid w:val="006A5219"/>
    <w:rsid w:val="006B436E"/>
    <w:rsid w:val="006E6F75"/>
    <w:rsid w:val="00703FAD"/>
    <w:rsid w:val="00741813"/>
    <w:rsid w:val="007D1BFD"/>
    <w:rsid w:val="007D64C5"/>
    <w:rsid w:val="00860E49"/>
    <w:rsid w:val="008C2722"/>
    <w:rsid w:val="00960920"/>
    <w:rsid w:val="009B69C8"/>
    <w:rsid w:val="00A15A0E"/>
    <w:rsid w:val="00A61ED3"/>
    <w:rsid w:val="00AE0398"/>
    <w:rsid w:val="00AE540C"/>
    <w:rsid w:val="00B3767C"/>
    <w:rsid w:val="00B727EE"/>
    <w:rsid w:val="00BE2E7A"/>
    <w:rsid w:val="00C13CD3"/>
    <w:rsid w:val="00C34683"/>
    <w:rsid w:val="00CC28A6"/>
    <w:rsid w:val="00CD4D8A"/>
    <w:rsid w:val="00CF0A1F"/>
    <w:rsid w:val="00D40CCE"/>
    <w:rsid w:val="00D55E99"/>
    <w:rsid w:val="00D601BA"/>
    <w:rsid w:val="00DE695C"/>
    <w:rsid w:val="00F4463B"/>
    <w:rsid w:val="00F450AF"/>
    <w:rsid w:val="00F468CB"/>
    <w:rsid w:val="00FE32E7"/>
    <w:rsid w:val="00FF3B7E"/>
    <w:rsid w:val="0B82EE30"/>
    <w:rsid w:val="1670141B"/>
    <w:rsid w:val="7BD495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31EE90"/>
  <w15:docId w15:val="{C67A5F32-C040-4576-A322-522082E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NoSpacing">
    <w:name w:val="No Spacing"/>
    <w:basedOn w:val="Normal"/>
    <w:pPr>
      <w:suppressAutoHyphens w:val="0"/>
      <w:spacing w:after="0" w:line="240" w:lineRule="auto"/>
      <w:textAlignment w:val="auto"/>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7949F6C4-0ECF-44D9-8871-9D206B7EE2E8}"/>
</file>

<file path=customXml/itemProps2.xml><?xml version="1.0" encoding="utf-8"?>
<ds:datastoreItem xmlns:ds="http://schemas.openxmlformats.org/officeDocument/2006/customXml" ds:itemID="{566BAC5A-C7A9-4D05-9326-073D9B481481}"/>
</file>

<file path=customXml/itemProps3.xml><?xml version="1.0" encoding="utf-8"?>
<ds:datastoreItem xmlns:ds="http://schemas.openxmlformats.org/officeDocument/2006/customXml" ds:itemID="{8D5C1687-B244-4B48-AFEC-CFDF63B9041F}"/>
</file>

<file path=docProps/app.xml><?xml version="1.0" encoding="utf-8"?>
<Properties xmlns="http://schemas.openxmlformats.org/officeDocument/2006/extended-properties" xmlns:vt="http://schemas.openxmlformats.org/officeDocument/2006/docPropsVTypes">
  <Template>Normal</Template>
  <TotalTime>25</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20200516 Tree Impact Assessment</dc:title>
  <dc:creator>Debra Walsh</dc:creator>
  <cp:lastModifiedBy>Heather Siverns</cp:lastModifiedBy>
  <cp:revision>3</cp:revision>
  <cp:lastPrinted>2017-05-26T12:26:00Z</cp:lastPrinted>
  <dcterms:created xsi:type="dcterms:W3CDTF">2020-06-18T12:56:00Z</dcterms:created>
  <dcterms:modified xsi:type="dcterms:W3CDTF">2020-06-18T13:20:00Z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