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77F6D" w14:textId="0D336B16" w:rsidR="6C4CAC32" w:rsidRDefault="6C4CAC32" w:rsidP="1078EE7E">
      <w:pPr>
        <w:pStyle w:val="Heading2"/>
      </w:pPr>
      <w:r>
        <w:t>Overall Comments</w:t>
      </w:r>
    </w:p>
    <w:p w14:paraId="15E22DA6" w14:textId="390BC0A2" w:rsidR="00F41286" w:rsidRDefault="00F41286" w:rsidP="00F41286">
      <w:r>
        <w:t>It is noted that the Transport Assessment acknowledges that the site will contribute to vehicle congestion. Given the site’s location and contributory influence, it is expected that priority is given to providing sufficient active travel interventions to deliver the robust level of mode shift necessary to mitigate the developments impact on the local road network.</w:t>
      </w:r>
    </w:p>
    <w:p w14:paraId="0DDEC5B2" w14:textId="1BA8D551" w:rsidR="0857EEF0" w:rsidRDefault="0857EEF0">
      <w:r>
        <w:t>An objective of the development should be to maintain and improve direct connections to the footpaths and bridleways surrounding and bisecting the site. </w:t>
      </w:r>
    </w:p>
    <w:p w14:paraId="2FA551C0" w14:textId="32FCF745" w:rsidR="0857EEF0" w:rsidRDefault="31993411" w:rsidP="1078EE7E">
      <w:r>
        <w:t>I</w:t>
      </w:r>
      <w:r w:rsidR="371EE520">
        <w:t xml:space="preserve">t would be seen to be of benefit for the provision of Active Travel in the site that the development can ensure the provision of 3m footpaths along the north-eastern </w:t>
      </w:r>
      <w:r w:rsidR="4E709CAE">
        <w:t>kerbline</w:t>
      </w:r>
      <w:r w:rsidR="5BE36939">
        <w:t xml:space="preserve"> o</w:t>
      </w:r>
      <w:r w:rsidR="371EE520">
        <w:t>f Wooley Colliery Road from the junction of</w:t>
      </w:r>
      <w:r w:rsidR="5268E7CC">
        <w:t xml:space="preserve"> the new access road to the sharp bend at the southern</w:t>
      </w:r>
      <w:r w:rsidR="735B765E">
        <w:t>m</w:t>
      </w:r>
      <w:r w:rsidR="5268E7CC">
        <w:t xml:space="preserve">ost point of the site. Based on the layout of the site, it is anticipated that pedestrians would be likely to use this as an access route towards amenities to the south </w:t>
      </w:r>
      <w:r w:rsidR="67AEC82D">
        <w:t>including Darton Rail Station.</w:t>
      </w:r>
    </w:p>
    <w:p w14:paraId="199DE50C" w14:textId="1CB330A9" w:rsidR="66481FD6" w:rsidRDefault="1E7AA268" w:rsidP="3BE0385F">
      <w:r>
        <w:t>In a similar manner, for this purpose, the development should ensure that the Public Right of Way diversion will provide</w:t>
      </w:r>
      <w:r w:rsidR="008330E2">
        <w:t xml:space="preserve"> at minimum for a</w:t>
      </w:r>
      <w:r>
        <w:t xml:space="preserve"> 3m surfaced path as this will provide an attractive Active Travel connection through the site</w:t>
      </w:r>
      <w:r w:rsidR="12525EA9">
        <w:t xml:space="preserve"> in accordance with LTN1/20 and local and regional strategy guidance</w:t>
      </w:r>
      <w:r>
        <w:t>.</w:t>
      </w:r>
      <w:r w:rsidR="4597594F">
        <w:t xml:space="preserve"> This 3m width should al</w:t>
      </w:r>
      <w:r w:rsidR="53F22BB3">
        <w:t xml:space="preserve">so be implemented </w:t>
      </w:r>
      <w:r w:rsidR="4597594F">
        <w:t xml:space="preserve">through the proposed wooded area in the north-east corner of the site </w:t>
      </w:r>
      <w:proofErr w:type="gramStart"/>
      <w:r w:rsidR="4597594F">
        <w:t>in order to</w:t>
      </w:r>
      <w:proofErr w:type="gramEnd"/>
      <w:r w:rsidR="4597594F">
        <w:t xml:space="preserve"> facilitate connectivity to future developments, Active Travel routes</w:t>
      </w:r>
      <w:r w:rsidR="778CFEB7">
        <w:t>,</w:t>
      </w:r>
      <w:r w:rsidR="4597594F">
        <w:t xml:space="preserve"> and the PRoW network.</w:t>
      </w:r>
    </w:p>
    <w:p w14:paraId="75FAEAFA" w14:textId="1D10EDE8" w:rsidR="515A972B" w:rsidRDefault="515A972B" w:rsidP="1078EE7E">
      <w:r w:rsidRPr="1078EE7E">
        <w:rPr>
          <w:rFonts w:ascii="Aptos" w:eastAsia="Aptos" w:hAnsi="Aptos" w:cs="Aptos"/>
          <w:color w:val="000000" w:themeColor="text1"/>
        </w:rPr>
        <w:t>Consideration also should be given to retaining where possible a buffer strip between the footpaths and any built out developments to preserve options for future improvements.</w:t>
      </w:r>
    </w:p>
    <w:p w14:paraId="27113D2F" w14:textId="28E5A596" w:rsidR="1078EE7E" w:rsidRDefault="1078EE7E" w:rsidP="1078EE7E">
      <w:pPr>
        <w:rPr>
          <w:rFonts w:ascii="Aptos" w:eastAsia="Aptos" w:hAnsi="Aptos" w:cs="Aptos"/>
          <w:color w:val="000000" w:themeColor="text1"/>
        </w:rPr>
      </w:pPr>
    </w:p>
    <w:p w14:paraId="56E6A3F8" w14:textId="0CA69508" w:rsidR="0F9F00D8" w:rsidRDefault="0F9F00D8" w:rsidP="1078EE7E">
      <w:pPr>
        <w:pStyle w:val="Heading2"/>
      </w:pPr>
      <w:r w:rsidRPr="1078EE7E">
        <w:t>Transport Assessment Comments</w:t>
      </w:r>
    </w:p>
    <w:p w14:paraId="1ECA8689" w14:textId="6C582AA6" w:rsidR="4D8D309C" w:rsidRDefault="7507562C" w:rsidP="1078EE7E">
      <w:r>
        <w:t>It is noted that the T</w:t>
      </w:r>
      <w:r w:rsidR="5E0D1EFD">
        <w:t>r</w:t>
      </w:r>
      <w:r>
        <w:t>ansport Assessment demonstrates a</w:t>
      </w:r>
      <w:r w:rsidR="2EEFC1EA">
        <w:t xml:space="preserve">n </w:t>
      </w:r>
      <w:r>
        <w:t>increase in vehic</w:t>
      </w:r>
      <w:r w:rsidR="00D3395F">
        <w:t>ular</w:t>
      </w:r>
      <w:r>
        <w:t xml:space="preserve"> traffic expected to be added to the local road network.</w:t>
      </w:r>
      <w:r w:rsidR="173E5A47">
        <w:t xml:space="preserve"> </w:t>
      </w:r>
    </w:p>
    <w:p w14:paraId="00D3497B" w14:textId="2CF5279C" w:rsidR="2B39CF91" w:rsidRDefault="56046B49" w:rsidP="34F86B49">
      <w:r>
        <w:t xml:space="preserve">As the disbenefits of increased journey time are evident, </w:t>
      </w:r>
      <w:r w:rsidR="66D7632F">
        <w:t xml:space="preserve">a more robust </w:t>
      </w:r>
      <w:r>
        <w:t>commitment to mitigation will need to be evidenced</w:t>
      </w:r>
      <w:r w:rsidR="6415282B">
        <w:t xml:space="preserve"> with the aims of maximising mode shift</w:t>
      </w:r>
      <w:r w:rsidR="22EE5E7E">
        <w:t xml:space="preserve"> away from private car use.</w:t>
      </w:r>
    </w:p>
    <w:p w14:paraId="1F2F66B0" w14:textId="1DE3D83C" w:rsidR="2B39CF91" w:rsidRDefault="605E3354" w:rsidP="1078EE7E">
      <w:r>
        <w:t>This further reinforces the importance of making credible commitments towards mode shift in the Travel Plan</w:t>
      </w:r>
      <w:r w:rsidR="5585F90F">
        <w:t>.</w:t>
      </w:r>
    </w:p>
    <w:p w14:paraId="0734B0BB" w14:textId="77339A51" w:rsidR="1078EE7E" w:rsidRDefault="1078EE7E" w:rsidP="1078EE7E"/>
    <w:p w14:paraId="03A9D865" w14:textId="0EC7123F" w:rsidR="550A78A7" w:rsidRDefault="550A78A7" w:rsidP="1078EE7E">
      <w:pPr>
        <w:pStyle w:val="Heading2"/>
      </w:pPr>
      <w:r>
        <w:t>Travel Plan Comments</w:t>
      </w:r>
    </w:p>
    <w:p w14:paraId="6B1BD7B2" w14:textId="3DB7D087" w:rsidR="0966FB3F" w:rsidRDefault="00FB22D2">
      <w:r>
        <w:t>It</w:t>
      </w:r>
      <w:r w:rsidR="0966FB3F">
        <w:t xml:space="preserve"> is important that the Travel Plan includes sufficient tangible measures to deliver the appropriate increases </w:t>
      </w:r>
      <w:r w:rsidR="2785D700">
        <w:t>in Active Travel and Public Transport mode share.</w:t>
      </w:r>
    </w:p>
    <w:p w14:paraId="60D69EFD" w14:textId="1CA0A6B3" w:rsidR="1078EE7E" w:rsidRDefault="1078EE7E"/>
    <w:p w14:paraId="5E79D0FB" w14:textId="4F38740B" w:rsidR="006673F4" w:rsidRDefault="62420790">
      <w:r w:rsidRPr="3BE0385F">
        <w:rPr>
          <w:rFonts w:ascii="Aptos" w:eastAsia="Aptos" w:hAnsi="Aptos" w:cs="Aptos"/>
          <w:color w:val="000000" w:themeColor="text1"/>
        </w:rPr>
        <w:t>It is noted</w:t>
      </w:r>
      <w:r w:rsidR="0F2B364D" w:rsidRPr="3BE0385F">
        <w:rPr>
          <w:rFonts w:ascii="Aptos" w:eastAsia="Aptos" w:hAnsi="Aptos" w:cs="Aptos"/>
          <w:color w:val="000000" w:themeColor="text1"/>
        </w:rPr>
        <w:t xml:space="preserve"> that the census data is provided from the 2011 census. While it is acknowledged that there are reservations regarding the accuracy of the 2021 census, inclusion of </w:t>
      </w:r>
      <w:proofErr w:type="gramStart"/>
      <w:r w:rsidR="0F2B364D" w:rsidRPr="3BE0385F">
        <w:rPr>
          <w:rFonts w:ascii="Aptos" w:eastAsia="Aptos" w:hAnsi="Aptos" w:cs="Aptos"/>
          <w:color w:val="000000" w:themeColor="text1"/>
        </w:rPr>
        <w:t>both to</w:t>
      </w:r>
      <w:proofErr w:type="gramEnd"/>
      <w:r w:rsidR="0F2B364D" w:rsidRPr="3BE0385F">
        <w:rPr>
          <w:rFonts w:ascii="Aptos" w:eastAsia="Aptos" w:hAnsi="Aptos" w:cs="Aptos"/>
          <w:color w:val="000000" w:themeColor="text1"/>
        </w:rPr>
        <w:t> inform the Travel Plan would be advantageous. </w:t>
      </w:r>
    </w:p>
    <w:p w14:paraId="2E8B8092" w14:textId="043D479B" w:rsidR="1078EE7E" w:rsidRDefault="1078EE7E" w:rsidP="1078EE7E">
      <w:pPr>
        <w:rPr>
          <w:rFonts w:ascii="Aptos" w:eastAsia="Aptos" w:hAnsi="Aptos" w:cs="Aptos"/>
          <w:color w:val="000000" w:themeColor="text1"/>
        </w:rPr>
      </w:pPr>
    </w:p>
    <w:p w14:paraId="557CC6CA" w14:textId="20C48D6F" w:rsidR="0A53B437" w:rsidRDefault="0A53B437" w:rsidP="1078EE7E">
      <w:pPr>
        <w:rPr>
          <w:rFonts w:ascii="Aptos" w:eastAsia="Aptos" w:hAnsi="Aptos" w:cs="Aptos"/>
          <w:color w:val="000000" w:themeColor="text1"/>
        </w:rPr>
      </w:pPr>
      <w:r>
        <w:t>4.</w:t>
      </w:r>
      <w:r w:rsidR="46DBE3EC">
        <w:t>2 and 4.3</w:t>
      </w:r>
      <w:r>
        <w:t xml:space="preserve"> Please amend that the surveys s</w:t>
      </w:r>
      <w:r w:rsidRPr="1078EE7E">
        <w:rPr>
          <w:rFonts w:ascii="Aptos" w:eastAsia="Aptos" w:hAnsi="Aptos" w:cs="Aptos"/>
          <w:color w:val="000000" w:themeColor="text1"/>
        </w:rPr>
        <w:t>hould be undertaken at 60% occupation or within 12 months of first occupation whichever comes first.</w:t>
      </w:r>
    </w:p>
    <w:p w14:paraId="50AF14BF" w14:textId="2D9E9F03" w:rsidR="23C768A0" w:rsidRDefault="23C768A0" w:rsidP="1078EE7E">
      <w:pPr>
        <w:rPr>
          <w:rFonts w:ascii="Aptos" w:eastAsia="Aptos" w:hAnsi="Aptos" w:cs="Aptos"/>
          <w:color w:val="000000" w:themeColor="text1"/>
        </w:rPr>
      </w:pPr>
      <w:r w:rsidRPr="1078EE7E">
        <w:rPr>
          <w:rFonts w:ascii="Aptos" w:eastAsia="Aptos" w:hAnsi="Aptos" w:cs="Aptos"/>
          <w:color w:val="000000" w:themeColor="text1"/>
        </w:rPr>
        <w:t xml:space="preserve">4.2 </w:t>
      </w:r>
      <w:r w:rsidR="0A53B437" w:rsidRPr="1078EE7E">
        <w:rPr>
          <w:rFonts w:ascii="Aptos" w:eastAsia="Aptos" w:hAnsi="Aptos" w:cs="Aptos"/>
          <w:color w:val="000000" w:themeColor="text1"/>
        </w:rPr>
        <w:t xml:space="preserve">Please specify that the surveys are to include peak hour period fully classified turning counts at the junction </w:t>
      </w:r>
      <w:r w:rsidR="0FC32893" w:rsidRPr="1078EE7E">
        <w:rPr>
          <w:rFonts w:ascii="Aptos" w:eastAsia="Aptos" w:hAnsi="Aptos" w:cs="Aptos"/>
          <w:color w:val="000000" w:themeColor="text1"/>
        </w:rPr>
        <w:t>of the site’s access road and Woolley Colliery Road</w:t>
      </w:r>
      <w:r w:rsidR="0A53B437" w:rsidRPr="1078EE7E">
        <w:rPr>
          <w:rFonts w:ascii="Aptos" w:eastAsia="Aptos" w:hAnsi="Aptos" w:cs="Aptos"/>
          <w:color w:val="000000" w:themeColor="text1"/>
        </w:rPr>
        <w:t> and two-week ATC’s, to accurately measure the volumes of traffic passing through the junction from the estate and contributing to the wider transport network demand. </w:t>
      </w:r>
    </w:p>
    <w:p w14:paraId="49BB2538" w14:textId="39BF2C24" w:rsidR="0A53B437" w:rsidRDefault="0A53B437" w:rsidP="1078EE7E">
      <w:pPr>
        <w:rPr>
          <w:rFonts w:ascii="Aptos" w:eastAsia="Aptos" w:hAnsi="Aptos" w:cs="Aptos"/>
          <w:color w:val="000000" w:themeColor="text1"/>
        </w:rPr>
      </w:pPr>
      <w:r w:rsidRPr="1078EE7E">
        <w:rPr>
          <w:rFonts w:ascii="Aptos" w:eastAsia="Aptos" w:hAnsi="Aptos" w:cs="Aptos"/>
          <w:color w:val="000000" w:themeColor="text1"/>
        </w:rPr>
        <w:t>Please also state that these traffic counts will be done in a neutral month and cover appropriate weekday and weekend movements. </w:t>
      </w:r>
    </w:p>
    <w:p w14:paraId="4E339397" w14:textId="30ED9960" w:rsidR="1078EE7E" w:rsidRDefault="1078EE7E"/>
    <w:p w14:paraId="399D43E9" w14:textId="51BF7982" w:rsidR="43660B9A" w:rsidRDefault="09C4E7BA">
      <w:r>
        <w:t xml:space="preserve">4.9 demonstrates a target to reduce the car mode share by 7.9%, please amend this to a </w:t>
      </w:r>
      <w:proofErr w:type="gramStart"/>
      <w:r>
        <w:t>10 percentage</w:t>
      </w:r>
      <w:proofErr w:type="gramEnd"/>
      <w:r>
        <w:t xml:space="preserve"> point reduction from 79% to 69%.</w:t>
      </w:r>
    </w:p>
    <w:p w14:paraId="671D1B6E" w14:textId="74894C6D" w:rsidR="34F86B49" w:rsidRDefault="34F86B49"/>
    <w:p w14:paraId="57A8AD6B" w14:textId="73414107" w:rsidR="3205229E" w:rsidRDefault="3205229E" w:rsidP="34F86B49">
      <w:r>
        <w:t>Table 4.2 In the interest of ensuring priority is given to active travel and public transport mode shift, please amend the table to specify initial targets for the increase in non-car modes:</w:t>
      </w:r>
    </w:p>
    <w:tbl>
      <w:tblPr>
        <w:tblStyle w:val="TableGrid"/>
        <w:tblW w:w="0" w:type="auto"/>
        <w:tblLook w:val="06A0" w:firstRow="1" w:lastRow="0" w:firstColumn="1" w:lastColumn="0" w:noHBand="1" w:noVBand="1"/>
      </w:tblPr>
      <w:tblGrid>
        <w:gridCol w:w="1260"/>
        <w:gridCol w:w="825"/>
      </w:tblGrid>
      <w:tr w:rsidR="34F86B49" w14:paraId="189AB26A" w14:textId="77777777" w:rsidTr="34F86B49">
        <w:trPr>
          <w:trHeight w:val="300"/>
        </w:trPr>
        <w:tc>
          <w:tcPr>
            <w:tcW w:w="1260" w:type="dxa"/>
          </w:tcPr>
          <w:p w14:paraId="35FD8373" w14:textId="4CA27837" w:rsidR="7FE7A1F3" w:rsidRDefault="7FE7A1F3" w:rsidP="34F86B49">
            <w:r>
              <w:t>Mode</w:t>
            </w:r>
          </w:p>
        </w:tc>
        <w:tc>
          <w:tcPr>
            <w:tcW w:w="825" w:type="dxa"/>
          </w:tcPr>
          <w:p w14:paraId="0D475B17" w14:textId="1E57DF94" w:rsidR="7FE7A1F3" w:rsidRDefault="7FE7A1F3" w:rsidP="34F86B49">
            <w:r>
              <w:t>Target</w:t>
            </w:r>
          </w:p>
        </w:tc>
      </w:tr>
      <w:tr w:rsidR="34F86B49" w14:paraId="473E3BE4" w14:textId="77777777" w:rsidTr="34F86B49">
        <w:trPr>
          <w:trHeight w:val="300"/>
        </w:trPr>
        <w:tc>
          <w:tcPr>
            <w:tcW w:w="1260" w:type="dxa"/>
          </w:tcPr>
          <w:p w14:paraId="2870C173" w14:textId="5EE7F5E2" w:rsidR="7FE7A1F3" w:rsidRDefault="7FE7A1F3" w:rsidP="34F86B49">
            <w:r>
              <w:t>Car Driver</w:t>
            </w:r>
          </w:p>
        </w:tc>
        <w:tc>
          <w:tcPr>
            <w:tcW w:w="825" w:type="dxa"/>
          </w:tcPr>
          <w:p w14:paraId="267EF8DB" w14:textId="1C9634A4" w:rsidR="7FE7A1F3" w:rsidRDefault="7FE7A1F3" w:rsidP="34F86B49">
            <w:pPr>
              <w:rPr>
                <w:b/>
                <w:bCs/>
              </w:rPr>
            </w:pPr>
            <w:r w:rsidRPr="34F86B49">
              <w:rPr>
                <w:b/>
                <w:bCs/>
              </w:rPr>
              <w:t>69%</w:t>
            </w:r>
          </w:p>
        </w:tc>
      </w:tr>
      <w:tr w:rsidR="34F86B49" w14:paraId="5EFD353E" w14:textId="77777777" w:rsidTr="34F86B49">
        <w:trPr>
          <w:trHeight w:val="300"/>
        </w:trPr>
        <w:tc>
          <w:tcPr>
            <w:tcW w:w="1260" w:type="dxa"/>
          </w:tcPr>
          <w:p w14:paraId="41F768F7" w14:textId="1BADBFAF" w:rsidR="7FE7A1F3" w:rsidRDefault="7FE7A1F3" w:rsidP="34F86B49">
            <w:r>
              <w:t>Rail</w:t>
            </w:r>
          </w:p>
        </w:tc>
        <w:tc>
          <w:tcPr>
            <w:tcW w:w="825" w:type="dxa"/>
          </w:tcPr>
          <w:p w14:paraId="0DD8C511" w14:textId="44A09ECB" w:rsidR="7FE7A1F3" w:rsidRDefault="7FE7A1F3" w:rsidP="34F86B49">
            <w:pPr>
              <w:rPr>
                <w:b/>
                <w:bCs/>
              </w:rPr>
            </w:pPr>
            <w:r w:rsidRPr="34F86B49">
              <w:rPr>
                <w:b/>
                <w:bCs/>
              </w:rPr>
              <w:t>6%</w:t>
            </w:r>
          </w:p>
        </w:tc>
      </w:tr>
      <w:tr w:rsidR="34F86B49" w14:paraId="21BC9DC9" w14:textId="77777777" w:rsidTr="34F86B49">
        <w:trPr>
          <w:trHeight w:val="300"/>
        </w:trPr>
        <w:tc>
          <w:tcPr>
            <w:tcW w:w="1260" w:type="dxa"/>
          </w:tcPr>
          <w:p w14:paraId="584A7709" w14:textId="7461133B" w:rsidR="7FE7A1F3" w:rsidRDefault="7FE7A1F3" w:rsidP="34F86B49">
            <w:r>
              <w:t>Bus</w:t>
            </w:r>
          </w:p>
        </w:tc>
        <w:tc>
          <w:tcPr>
            <w:tcW w:w="825" w:type="dxa"/>
          </w:tcPr>
          <w:p w14:paraId="52E81586" w14:textId="5AB3B043" w:rsidR="7FE7A1F3" w:rsidRDefault="7FE7A1F3" w:rsidP="34F86B49">
            <w:pPr>
              <w:rPr>
                <w:b/>
                <w:bCs/>
              </w:rPr>
            </w:pPr>
            <w:r w:rsidRPr="34F86B49">
              <w:rPr>
                <w:b/>
                <w:bCs/>
              </w:rPr>
              <w:t>7%</w:t>
            </w:r>
          </w:p>
        </w:tc>
      </w:tr>
      <w:tr w:rsidR="34F86B49" w14:paraId="63CE9AB2" w14:textId="77777777" w:rsidTr="34F86B49">
        <w:trPr>
          <w:trHeight w:val="300"/>
        </w:trPr>
        <w:tc>
          <w:tcPr>
            <w:tcW w:w="1260" w:type="dxa"/>
          </w:tcPr>
          <w:p w14:paraId="0DF8679A" w14:textId="7D69F64D" w:rsidR="7FE7A1F3" w:rsidRDefault="7FE7A1F3" w:rsidP="34F86B49">
            <w:r>
              <w:t>Cycle</w:t>
            </w:r>
          </w:p>
        </w:tc>
        <w:tc>
          <w:tcPr>
            <w:tcW w:w="825" w:type="dxa"/>
          </w:tcPr>
          <w:p w14:paraId="17A3B7C4" w14:textId="79985ACD" w:rsidR="7FE7A1F3" w:rsidRDefault="7FE7A1F3" w:rsidP="34F86B49">
            <w:pPr>
              <w:rPr>
                <w:b/>
                <w:bCs/>
              </w:rPr>
            </w:pPr>
            <w:r w:rsidRPr="34F86B49">
              <w:rPr>
                <w:b/>
                <w:bCs/>
              </w:rPr>
              <w:t>4%</w:t>
            </w:r>
          </w:p>
        </w:tc>
      </w:tr>
      <w:tr w:rsidR="34F86B49" w14:paraId="2540656D" w14:textId="77777777" w:rsidTr="34F86B49">
        <w:trPr>
          <w:trHeight w:val="300"/>
        </w:trPr>
        <w:tc>
          <w:tcPr>
            <w:tcW w:w="1260" w:type="dxa"/>
          </w:tcPr>
          <w:p w14:paraId="5D6490CA" w14:textId="05969932" w:rsidR="7FE7A1F3" w:rsidRDefault="7FE7A1F3" w:rsidP="34F86B49">
            <w:r>
              <w:t>Walking</w:t>
            </w:r>
          </w:p>
        </w:tc>
        <w:tc>
          <w:tcPr>
            <w:tcW w:w="825" w:type="dxa"/>
          </w:tcPr>
          <w:p w14:paraId="23B73C9E" w14:textId="2446C9B8" w:rsidR="7FE7A1F3" w:rsidRDefault="7FE7A1F3" w:rsidP="34F86B49">
            <w:pPr>
              <w:rPr>
                <w:b/>
                <w:bCs/>
              </w:rPr>
            </w:pPr>
            <w:r w:rsidRPr="34F86B49">
              <w:rPr>
                <w:b/>
                <w:bCs/>
              </w:rPr>
              <w:t>7%</w:t>
            </w:r>
          </w:p>
        </w:tc>
      </w:tr>
    </w:tbl>
    <w:p w14:paraId="2B47A9A2" w14:textId="575BDE26" w:rsidR="34F86B49" w:rsidRDefault="34F86B49" w:rsidP="34F86B49">
      <w:pPr>
        <w:rPr>
          <w:highlight w:val="yellow"/>
        </w:rPr>
      </w:pPr>
    </w:p>
    <w:p w14:paraId="7CC1A913" w14:textId="66C5BEBD" w:rsidR="3A554739" w:rsidRDefault="3A554739" w:rsidP="1078EE7E">
      <w:r>
        <w:t>5.3 Measure 4 is a welcome inclusion and likely the primary mechanism for driving Mode Shift. Please provide further elaboration on this with more detail</w:t>
      </w:r>
      <w:r w:rsidR="5185383B">
        <w:t>.</w:t>
      </w:r>
    </w:p>
    <w:p w14:paraId="75805140" w14:textId="5D5B6708" w:rsidR="5185383B" w:rsidRDefault="5185383B" w:rsidP="1078EE7E">
      <w:pPr>
        <w:rPr>
          <w:rFonts w:ascii="Aptos" w:eastAsia="Aptos" w:hAnsi="Aptos" w:cs="Aptos"/>
          <w:color w:val="000000" w:themeColor="text1"/>
        </w:rPr>
      </w:pPr>
      <w:r w:rsidRPr="1078EE7E">
        <w:rPr>
          <w:rFonts w:ascii="Aptos" w:eastAsia="Aptos" w:hAnsi="Aptos" w:cs="Aptos"/>
          <w:color w:val="000000" w:themeColor="text1"/>
        </w:rPr>
        <w:t>BMBC has in other instances agreed measures to provide dwellings with the option to claim, within each year of the travel plan: </w:t>
      </w:r>
    </w:p>
    <w:p w14:paraId="535D2C75" w14:textId="43BA52A3" w:rsidR="5185383B" w:rsidRDefault="5185383B" w:rsidP="1078EE7E">
      <w:pPr>
        <w:pStyle w:val="ListParagraph"/>
        <w:numPr>
          <w:ilvl w:val="0"/>
          <w:numId w:val="2"/>
        </w:numPr>
        <w:rPr>
          <w:rFonts w:ascii="Aptos" w:eastAsia="Aptos" w:hAnsi="Aptos" w:cs="Aptos"/>
          <w:color w:val="000000" w:themeColor="text1"/>
        </w:rPr>
      </w:pPr>
      <w:r w:rsidRPr="1078EE7E">
        <w:rPr>
          <w:rFonts w:ascii="Aptos" w:eastAsia="Aptos" w:hAnsi="Aptos" w:cs="Aptos"/>
          <w:color w:val="000000" w:themeColor="text1"/>
        </w:rPr>
        <w:t>A 28 Day Silver Megarider Bus Ticket </w:t>
      </w:r>
    </w:p>
    <w:p w14:paraId="28F22B9A" w14:textId="2E288A85" w:rsidR="5185383B" w:rsidRDefault="5185383B" w:rsidP="1078EE7E">
      <w:pPr>
        <w:pStyle w:val="ListParagraph"/>
        <w:numPr>
          <w:ilvl w:val="0"/>
          <w:numId w:val="2"/>
        </w:numPr>
        <w:rPr>
          <w:rFonts w:ascii="Aptos" w:eastAsia="Aptos" w:hAnsi="Aptos" w:cs="Aptos"/>
          <w:color w:val="000000" w:themeColor="text1"/>
        </w:rPr>
      </w:pPr>
      <w:r w:rsidRPr="1078EE7E">
        <w:rPr>
          <w:rFonts w:ascii="Aptos" w:eastAsia="Aptos" w:hAnsi="Aptos" w:cs="Aptos"/>
          <w:color w:val="000000" w:themeColor="text1"/>
        </w:rPr>
        <w:t>OR </w:t>
      </w:r>
    </w:p>
    <w:p w14:paraId="05794D5C" w14:textId="081A19CA" w:rsidR="5185383B" w:rsidRDefault="5185383B" w:rsidP="1078EE7E">
      <w:pPr>
        <w:pStyle w:val="ListParagraph"/>
        <w:numPr>
          <w:ilvl w:val="0"/>
          <w:numId w:val="2"/>
        </w:numPr>
        <w:rPr>
          <w:rFonts w:ascii="Aptos" w:eastAsia="Aptos" w:hAnsi="Aptos" w:cs="Aptos"/>
          <w:color w:val="000000" w:themeColor="text1"/>
        </w:rPr>
      </w:pPr>
      <w:r w:rsidRPr="1078EE7E">
        <w:rPr>
          <w:rFonts w:ascii="Aptos" w:eastAsia="Aptos" w:hAnsi="Aptos" w:cs="Aptos"/>
          <w:color w:val="000000" w:themeColor="text1"/>
        </w:rPr>
        <w:t>An equivalent value voucher for cycle equipment (approx. £90). </w:t>
      </w:r>
    </w:p>
    <w:p w14:paraId="22698A6C" w14:textId="0EB5ACF9" w:rsidR="5185383B" w:rsidRDefault="5185383B" w:rsidP="1078EE7E">
      <w:pPr>
        <w:pStyle w:val="ListParagraph"/>
        <w:numPr>
          <w:ilvl w:val="0"/>
          <w:numId w:val="2"/>
        </w:numPr>
        <w:rPr>
          <w:rFonts w:ascii="Aptos" w:eastAsia="Aptos" w:hAnsi="Aptos" w:cs="Aptos"/>
          <w:color w:val="000000" w:themeColor="text1"/>
        </w:rPr>
      </w:pPr>
      <w:r w:rsidRPr="1078EE7E">
        <w:rPr>
          <w:rFonts w:ascii="Aptos" w:eastAsia="Aptos" w:hAnsi="Aptos" w:cs="Aptos"/>
          <w:color w:val="000000" w:themeColor="text1"/>
        </w:rPr>
        <w:t>OR </w:t>
      </w:r>
    </w:p>
    <w:p w14:paraId="0C16DBF3" w14:textId="4E2B4116" w:rsidR="5185383B" w:rsidRDefault="5185383B" w:rsidP="1078EE7E">
      <w:pPr>
        <w:pStyle w:val="ListParagraph"/>
        <w:numPr>
          <w:ilvl w:val="0"/>
          <w:numId w:val="2"/>
        </w:numPr>
        <w:rPr>
          <w:rFonts w:ascii="Aptos" w:eastAsia="Aptos" w:hAnsi="Aptos" w:cs="Aptos"/>
          <w:color w:val="000000" w:themeColor="text1"/>
        </w:rPr>
      </w:pPr>
      <w:r w:rsidRPr="1078EE7E">
        <w:rPr>
          <w:rFonts w:ascii="Aptos" w:eastAsia="Aptos" w:hAnsi="Aptos" w:cs="Aptos"/>
          <w:color w:val="000000" w:themeColor="text1"/>
        </w:rPr>
        <w:t>An equivalent value voucher or contribution to rail season tickets from Darton Rail Station.</w:t>
      </w:r>
    </w:p>
    <w:p w14:paraId="2F6EBB54" w14:textId="66373AB4" w:rsidR="5185383B" w:rsidRDefault="5185383B" w:rsidP="1078EE7E">
      <w:pPr>
        <w:rPr>
          <w:rFonts w:ascii="Aptos" w:eastAsia="Aptos" w:hAnsi="Aptos" w:cs="Aptos"/>
          <w:color w:val="000000" w:themeColor="text1"/>
        </w:rPr>
      </w:pPr>
      <w:r w:rsidRPr="1078EE7E">
        <w:rPr>
          <w:rFonts w:ascii="Aptos" w:eastAsia="Aptos" w:hAnsi="Aptos" w:cs="Aptos"/>
          <w:color w:val="000000" w:themeColor="text1"/>
        </w:rPr>
        <w:t>Please amend the measures to include providing all dwellings in the site the opportunity to claim these options in each year of the Travel Plan</w:t>
      </w:r>
      <w:r w:rsidR="4A2F91EB" w:rsidRPr="1078EE7E">
        <w:rPr>
          <w:rFonts w:ascii="Aptos" w:eastAsia="Aptos" w:hAnsi="Aptos" w:cs="Aptos"/>
          <w:color w:val="000000" w:themeColor="text1"/>
        </w:rPr>
        <w:t xml:space="preserve"> or until the funding is used up</w:t>
      </w:r>
      <w:r w:rsidRPr="1078EE7E">
        <w:rPr>
          <w:rFonts w:ascii="Aptos" w:eastAsia="Aptos" w:hAnsi="Aptos" w:cs="Aptos"/>
          <w:color w:val="000000" w:themeColor="text1"/>
        </w:rPr>
        <w:t>. Funding for this should be allocated within the S106 agreement sufficient to provide an anticipated 20% of the development with tickets each year. </w:t>
      </w:r>
    </w:p>
    <w:p w14:paraId="1FDBE210" w14:textId="3DBC002A" w:rsidR="1078EE7E" w:rsidRDefault="1078EE7E" w:rsidP="1078EE7E">
      <w:pPr>
        <w:rPr>
          <w:rFonts w:ascii="Aptos" w:eastAsia="Aptos" w:hAnsi="Aptos" w:cs="Aptos"/>
          <w:color w:val="000000" w:themeColor="text1"/>
        </w:rPr>
      </w:pPr>
    </w:p>
    <w:p w14:paraId="7089FFA4" w14:textId="5FF1CFDE" w:rsidR="00330191" w:rsidRDefault="460AFC29" w:rsidP="3BE0385F">
      <w:pPr>
        <w:rPr>
          <w:rFonts w:ascii="Aptos" w:eastAsia="Aptos" w:hAnsi="Aptos" w:cs="Aptos"/>
        </w:rPr>
      </w:pPr>
      <w:r w:rsidRPr="3BE0385F">
        <w:rPr>
          <w:rFonts w:ascii="Aptos" w:eastAsia="Aptos" w:hAnsi="Aptos" w:cs="Aptos"/>
          <w:color w:val="000000" w:themeColor="text1"/>
        </w:rPr>
        <w:t xml:space="preserve">The Travel Plan needs to state clearly that should future targets not be achieved, then the developer will make commitments to tangible further investment and actions which may be required to achieve the targets. This could include expansion of measures such as cycle and </w:t>
      </w:r>
      <w:r w:rsidRPr="3BE0385F">
        <w:rPr>
          <w:rFonts w:ascii="Aptos" w:eastAsia="Aptos" w:hAnsi="Aptos" w:cs="Aptos"/>
          <w:color w:val="000000" w:themeColor="text1"/>
        </w:rPr>
        <w:lastRenderedPageBreak/>
        <w:t>bus vouchers/tickets. The development should aim to actively invest in opportunities to travel by sustainable modes and not simply rely on sharing information to encourage mode shift.</w:t>
      </w:r>
    </w:p>
    <w:sectPr w:rsidR="003301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A9DF6"/>
    <w:multiLevelType w:val="hybridMultilevel"/>
    <w:tmpl w:val="C3148392"/>
    <w:lvl w:ilvl="0" w:tplc="1FC2C0EC">
      <w:start w:val="10"/>
      <w:numFmt w:val="bullet"/>
      <w:lvlText w:val="-"/>
      <w:lvlJc w:val="left"/>
      <w:pPr>
        <w:ind w:left="720" w:hanging="360"/>
      </w:pPr>
      <w:rPr>
        <w:rFonts w:ascii="Aptos" w:hAnsi="Aptos" w:hint="default"/>
      </w:rPr>
    </w:lvl>
    <w:lvl w:ilvl="1" w:tplc="B4B876C6">
      <w:start w:val="1"/>
      <w:numFmt w:val="bullet"/>
      <w:lvlText w:val="o"/>
      <w:lvlJc w:val="left"/>
      <w:pPr>
        <w:ind w:left="1440" w:hanging="360"/>
      </w:pPr>
      <w:rPr>
        <w:rFonts w:ascii="Aptos" w:hAnsi="Aptos" w:hint="default"/>
      </w:rPr>
    </w:lvl>
    <w:lvl w:ilvl="2" w:tplc="F0AC8B8C">
      <w:start w:val="1"/>
      <w:numFmt w:val="bullet"/>
      <w:lvlText w:val=""/>
      <w:lvlJc w:val="left"/>
      <w:pPr>
        <w:ind w:left="2160" w:hanging="360"/>
      </w:pPr>
      <w:rPr>
        <w:rFonts w:ascii="Wingdings" w:hAnsi="Wingdings" w:hint="default"/>
      </w:rPr>
    </w:lvl>
    <w:lvl w:ilvl="3" w:tplc="F7483AAC">
      <w:start w:val="1"/>
      <w:numFmt w:val="bullet"/>
      <w:lvlText w:val=""/>
      <w:lvlJc w:val="left"/>
      <w:pPr>
        <w:ind w:left="2880" w:hanging="360"/>
      </w:pPr>
      <w:rPr>
        <w:rFonts w:ascii="Symbol" w:hAnsi="Symbol" w:hint="default"/>
      </w:rPr>
    </w:lvl>
    <w:lvl w:ilvl="4" w:tplc="65AE48AE">
      <w:start w:val="1"/>
      <w:numFmt w:val="bullet"/>
      <w:lvlText w:val="o"/>
      <w:lvlJc w:val="left"/>
      <w:pPr>
        <w:ind w:left="3600" w:hanging="360"/>
      </w:pPr>
      <w:rPr>
        <w:rFonts w:ascii="Courier New" w:hAnsi="Courier New" w:hint="default"/>
      </w:rPr>
    </w:lvl>
    <w:lvl w:ilvl="5" w:tplc="BA8073D4">
      <w:start w:val="1"/>
      <w:numFmt w:val="bullet"/>
      <w:lvlText w:val=""/>
      <w:lvlJc w:val="left"/>
      <w:pPr>
        <w:ind w:left="4320" w:hanging="360"/>
      </w:pPr>
      <w:rPr>
        <w:rFonts w:ascii="Wingdings" w:hAnsi="Wingdings" w:hint="default"/>
      </w:rPr>
    </w:lvl>
    <w:lvl w:ilvl="6" w:tplc="08D2DCD6">
      <w:start w:val="1"/>
      <w:numFmt w:val="bullet"/>
      <w:lvlText w:val=""/>
      <w:lvlJc w:val="left"/>
      <w:pPr>
        <w:ind w:left="5040" w:hanging="360"/>
      </w:pPr>
      <w:rPr>
        <w:rFonts w:ascii="Symbol" w:hAnsi="Symbol" w:hint="default"/>
      </w:rPr>
    </w:lvl>
    <w:lvl w:ilvl="7" w:tplc="BBAAE292">
      <w:start w:val="1"/>
      <w:numFmt w:val="bullet"/>
      <w:lvlText w:val="o"/>
      <w:lvlJc w:val="left"/>
      <w:pPr>
        <w:ind w:left="5760" w:hanging="360"/>
      </w:pPr>
      <w:rPr>
        <w:rFonts w:ascii="Courier New" w:hAnsi="Courier New" w:hint="default"/>
      </w:rPr>
    </w:lvl>
    <w:lvl w:ilvl="8" w:tplc="9D6832EE">
      <w:start w:val="1"/>
      <w:numFmt w:val="bullet"/>
      <w:lvlText w:val=""/>
      <w:lvlJc w:val="left"/>
      <w:pPr>
        <w:ind w:left="6480" w:hanging="360"/>
      </w:pPr>
      <w:rPr>
        <w:rFonts w:ascii="Wingdings" w:hAnsi="Wingdings" w:hint="default"/>
      </w:rPr>
    </w:lvl>
  </w:abstractNum>
  <w:abstractNum w:abstractNumId="1" w15:restartNumberingAfterBreak="0">
    <w:nsid w:val="6C19C336"/>
    <w:multiLevelType w:val="hybridMultilevel"/>
    <w:tmpl w:val="26A8486C"/>
    <w:lvl w:ilvl="0" w:tplc="CEECD8B6">
      <w:start w:val="10"/>
      <w:numFmt w:val="bullet"/>
      <w:lvlText w:val="-"/>
      <w:lvlJc w:val="left"/>
      <w:pPr>
        <w:ind w:left="720" w:hanging="360"/>
      </w:pPr>
      <w:rPr>
        <w:rFonts w:ascii="Aptos" w:hAnsi="Aptos" w:hint="default"/>
      </w:rPr>
    </w:lvl>
    <w:lvl w:ilvl="1" w:tplc="68480F54">
      <w:start w:val="1"/>
      <w:numFmt w:val="bullet"/>
      <w:lvlText w:val="o"/>
      <w:lvlJc w:val="left"/>
      <w:pPr>
        <w:ind w:left="1440" w:hanging="360"/>
      </w:pPr>
      <w:rPr>
        <w:rFonts w:ascii="Courier New" w:hAnsi="Courier New" w:hint="default"/>
      </w:rPr>
    </w:lvl>
    <w:lvl w:ilvl="2" w:tplc="662C44E2">
      <w:start w:val="1"/>
      <w:numFmt w:val="bullet"/>
      <w:lvlText w:val=""/>
      <w:lvlJc w:val="left"/>
      <w:pPr>
        <w:ind w:left="2160" w:hanging="360"/>
      </w:pPr>
      <w:rPr>
        <w:rFonts w:ascii="Wingdings" w:hAnsi="Wingdings" w:hint="default"/>
      </w:rPr>
    </w:lvl>
    <w:lvl w:ilvl="3" w:tplc="1C16F8DC">
      <w:start w:val="1"/>
      <w:numFmt w:val="bullet"/>
      <w:lvlText w:val=""/>
      <w:lvlJc w:val="left"/>
      <w:pPr>
        <w:ind w:left="2880" w:hanging="360"/>
      </w:pPr>
      <w:rPr>
        <w:rFonts w:ascii="Symbol" w:hAnsi="Symbol" w:hint="default"/>
      </w:rPr>
    </w:lvl>
    <w:lvl w:ilvl="4" w:tplc="A94EA026">
      <w:start w:val="1"/>
      <w:numFmt w:val="bullet"/>
      <w:lvlText w:val="o"/>
      <w:lvlJc w:val="left"/>
      <w:pPr>
        <w:ind w:left="3600" w:hanging="360"/>
      </w:pPr>
      <w:rPr>
        <w:rFonts w:ascii="Courier New" w:hAnsi="Courier New" w:hint="default"/>
      </w:rPr>
    </w:lvl>
    <w:lvl w:ilvl="5" w:tplc="4BBE4404">
      <w:start w:val="1"/>
      <w:numFmt w:val="bullet"/>
      <w:lvlText w:val=""/>
      <w:lvlJc w:val="left"/>
      <w:pPr>
        <w:ind w:left="4320" w:hanging="360"/>
      </w:pPr>
      <w:rPr>
        <w:rFonts w:ascii="Wingdings" w:hAnsi="Wingdings" w:hint="default"/>
      </w:rPr>
    </w:lvl>
    <w:lvl w:ilvl="6" w:tplc="A9047BB6">
      <w:start w:val="1"/>
      <w:numFmt w:val="bullet"/>
      <w:lvlText w:val=""/>
      <w:lvlJc w:val="left"/>
      <w:pPr>
        <w:ind w:left="5040" w:hanging="360"/>
      </w:pPr>
      <w:rPr>
        <w:rFonts w:ascii="Symbol" w:hAnsi="Symbol" w:hint="default"/>
      </w:rPr>
    </w:lvl>
    <w:lvl w:ilvl="7" w:tplc="8A5083D4">
      <w:start w:val="1"/>
      <w:numFmt w:val="bullet"/>
      <w:lvlText w:val="o"/>
      <w:lvlJc w:val="left"/>
      <w:pPr>
        <w:ind w:left="5760" w:hanging="360"/>
      </w:pPr>
      <w:rPr>
        <w:rFonts w:ascii="Courier New" w:hAnsi="Courier New" w:hint="default"/>
      </w:rPr>
    </w:lvl>
    <w:lvl w:ilvl="8" w:tplc="D5187B78">
      <w:start w:val="1"/>
      <w:numFmt w:val="bullet"/>
      <w:lvlText w:val=""/>
      <w:lvlJc w:val="left"/>
      <w:pPr>
        <w:ind w:left="6480" w:hanging="360"/>
      </w:pPr>
      <w:rPr>
        <w:rFonts w:ascii="Wingdings" w:hAnsi="Wingdings" w:hint="default"/>
      </w:rPr>
    </w:lvl>
  </w:abstractNum>
  <w:num w:numId="1" w16cid:durableId="1952586471">
    <w:abstractNumId w:val="0"/>
  </w:num>
  <w:num w:numId="2" w16cid:durableId="1788769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395"/>
    <w:rsid w:val="00031BE3"/>
    <w:rsid w:val="000435E6"/>
    <w:rsid w:val="000B363A"/>
    <w:rsid w:val="000D4EA1"/>
    <w:rsid w:val="00116D6B"/>
    <w:rsid w:val="001431F5"/>
    <w:rsid w:val="00163504"/>
    <w:rsid w:val="002008BD"/>
    <w:rsid w:val="002B38E5"/>
    <w:rsid w:val="002F0598"/>
    <w:rsid w:val="00330191"/>
    <w:rsid w:val="003A4640"/>
    <w:rsid w:val="00593395"/>
    <w:rsid w:val="005B3D6B"/>
    <w:rsid w:val="005E3402"/>
    <w:rsid w:val="006673F4"/>
    <w:rsid w:val="00683F07"/>
    <w:rsid w:val="006A0FF3"/>
    <w:rsid w:val="008330E2"/>
    <w:rsid w:val="008506F5"/>
    <w:rsid w:val="00863855"/>
    <w:rsid w:val="00870230"/>
    <w:rsid w:val="00915B24"/>
    <w:rsid w:val="0092638B"/>
    <w:rsid w:val="00943DA9"/>
    <w:rsid w:val="00965C83"/>
    <w:rsid w:val="00981047"/>
    <w:rsid w:val="009F0DF3"/>
    <w:rsid w:val="00A74C5B"/>
    <w:rsid w:val="00B46620"/>
    <w:rsid w:val="00D3395F"/>
    <w:rsid w:val="00D61293"/>
    <w:rsid w:val="00E71985"/>
    <w:rsid w:val="00EE78D8"/>
    <w:rsid w:val="00F34920"/>
    <w:rsid w:val="00F41286"/>
    <w:rsid w:val="00F574E6"/>
    <w:rsid w:val="00F8513B"/>
    <w:rsid w:val="00FB22D2"/>
    <w:rsid w:val="00FE6F12"/>
    <w:rsid w:val="00FF35BB"/>
    <w:rsid w:val="05EF6836"/>
    <w:rsid w:val="0706C252"/>
    <w:rsid w:val="07655B7D"/>
    <w:rsid w:val="08441BCB"/>
    <w:rsid w:val="084AF0A6"/>
    <w:rsid w:val="0857EEF0"/>
    <w:rsid w:val="0966FB3F"/>
    <w:rsid w:val="099CC5A6"/>
    <w:rsid w:val="09C4E7BA"/>
    <w:rsid w:val="0A53B437"/>
    <w:rsid w:val="0B8F02A8"/>
    <w:rsid w:val="0BD2ACEA"/>
    <w:rsid w:val="0C78BCD9"/>
    <w:rsid w:val="0F21D0D4"/>
    <w:rsid w:val="0F2B364D"/>
    <w:rsid w:val="0F9F00D8"/>
    <w:rsid w:val="0FC32893"/>
    <w:rsid w:val="1078EE7E"/>
    <w:rsid w:val="1221B10A"/>
    <w:rsid w:val="12410AD3"/>
    <w:rsid w:val="12525EA9"/>
    <w:rsid w:val="12C23B5C"/>
    <w:rsid w:val="15189677"/>
    <w:rsid w:val="173E5A47"/>
    <w:rsid w:val="184E82DD"/>
    <w:rsid w:val="18A0FFC7"/>
    <w:rsid w:val="18A8C19B"/>
    <w:rsid w:val="19133FB0"/>
    <w:rsid w:val="1A232D4E"/>
    <w:rsid w:val="1E7AA268"/>
    <w:rsid w:val="1F2004FE"/>
    <w:rsid w:val="20A99D40"/>
    <w:rsid w:val="22769A88"/>
    <w:rsid w:val="22E328C1"/>
    <w:rsid w:val="22EE5E7E"/>
    <w:rsid w:val="23C242AB"/>
    <w:rsid w:val="23C768A0"/>
    <w:rsid w:val="24176E2B"/>
    <w:rsid w:val="24E8FE7E"/>
    <w:rsid w:val="250B78C2"/>
    <w:rsid w:val="25B335D6"/>
    <w:rsid w:val="2742B1B1"/>
    <w:rsid w:val="2785D700"/>
    <w:rsid w:val="289977A0"/>
    <w:rsid w:val="28C81562"/>
    <w:rsid w:val="29B774E5"/>
    <w:rsid w:val="2B39CF91"/>
    <w:rsid w:val="2B9C1278"/>
    <w:rsid w:val="2BD87C75"/>
    <w:rsid w:val="2ED3AE9B"/>
    <w:rsid w:val="2ED4CA0E"/>
    <w:rsid w:val="2EEFC1EA"/>
    <w:rsid w:val="300BB2B1"/>
    <w:rsid w:val="31993411"/>
    <w:rsid w:val="3205229E"/>
    <w:rsid w:val="327B1569"/>
    <w:rsid w:val="332134A5"/>
    <w:rsid w:val="349CC44D"/>
    <w:rsid w:val="34F86B49"/>
    <w:rsid w:val="360DAB9B"/>
    <w:rsid w:val="3641F3B6"/>
    <w:rsid w:val="371EE520"/>
    <w:rsid w:val="377A92C1"/>
    <w:rsid w:val="39ABE1B2"/>
    <w:rsid w:val="3A5493EC"/>
    <w:rsid w:val="3A554739"/>
    <w:rsid w:val="3BBB18B9"/>
    <w:rsid w:val="3BC60EF2"/>
    <w:rsid w:val="3BD4C6EF"/>
    <w:rsid w:val="3BE0385F"/>
    <w:rsid w:val="3BF17369"/>
    <w:rsid w:val="3BFD882B"/>
    <w:rsid w:val="3D1B6E96"/>
    <w:rsid w:val="3D72F8B6"/>
    <w:rsid w:val="401D6E41"/>
    <w:rsid w:val="41492D5A"/>
    <w:rsid w:val="4179BB9D"/>
    <w:rsid w:val="422CF446"/>
    <w:rsid w:val="43660B9A"/>
    <w:rsid w:val="4430678B"/>
    <w:rsid w:val="4597594F"/>
    <w:rsid w:val="460AFC29"/>
    <w:rsid w:val="46C2FF4A"/>
    <w:rsid w:val="46DBE3EC"/>
    <w:rsid w:val="47A242C2"/>
    <w:rsid w:val="48F43EC8"/>
    <w:rsid w:val="4A2F91EB"/>
    <w:rsid w:val="4C351820"/>
    <w:rsid w:val="4CD5C105"/>
    <w:rsid w:val="4D8D309C"/>
    <w:rsid w:val="4DDAE583"/>
    <w:rsid w:val="4E709CAE"/>
    <w:rsid w:val="4F9EC491"/>
    <w:rsid w:val="4FFA10EF"/>
    <w:rsid w:val="5074782B"/>
    <w:rsid w:val="50EF3948"/>
    <w:rsid w:val="515A972B"/>
    <w:rsid w:val="51616C5E"/>
    <w:rsid w:val="5185383B"/>
    <w:rsid w:val="5268E7CC"/>
    <w:rsid w:val="53EA66D3"/>
    <w:rsid w:val="53F22BB3"/>
    <w:rsid w:val="541B4CD9"/>
    <w:rsid w:val="54CC7CF3"/>
    <w:rsid w:val="550A78A7"/>
    <w:rsid w:val="5585F90F"/>
    <w:rsid w:val="55DA8FBC"/>
    <w:rsid w:val="56046B49"/>
    <w:rsid w:val="56959626"/>
    <w:rsid w:val="57BF7547"/>
    <w:rsid w:val="587692F1"/>
    <w:rsid w:val="58974417"/>
    <w:rsid w:val="5BE36939"/>
    <w:rsid w:val="5C4C4252"/>
    <w:rsid w:val="5C92BD04"/>
    <w:rsid w:val="5CE5B759"/>
    <w:rsid w:val="5D0F23A3"/>
    <w:rsid w:val="5D9ED39A"/>
    <w:rsid w:val="5DE60FBA"/>
    <w:rsid w:val="5E0D1EFD"/>
    <w:rsid w:val="602DADFE"/>
    <w:rsid w:val="604BEDC6"/>
    <w:rsid w:val="605E3354"/>
    <w:rsid w:val="608D68CA"/>
    <w:rsid w:val="6100B0EE"/>
    <w:rsid w:val="611703C2"/>
    <w:rsid w:val="62420790"/>
    <w:rsid w:val="62CAB815"/>
    <w:rsid w:val="630D7509"/>
    <w:rsid w:val="636B9306"/>
    <w:rsid w:val="6380F270"/>
    <w:rsid w:val="6415282B"/>
    <w:rsid w:val="66103EE0"/>
    <w:rsid w:val="66481FD6"/>
    <w:rsid w:val="66D7632F"/>
    <w:rsid w:val="6710E607"/>
    <w:rsid w:val="67AD8251"/>
    <w:rsid w:val="67AEC82D"/>
    <w:rsid w:val="681574DE"/>
    <w:rsid w:val="695785C8"/>
    <w:rsid w:val="696CD072"/>
    <w:rsid w:val="69BC5214"/>
    <w:rsid w:val="6C4CAC32"/>
    <w:rsid w:val="6CCF790C"/>
    <w:rsid w:val="6CF324FF"/>
    <w:rsid w:val="6D6BDC49"/>
    <w:rsid w:val="6EB4CB4E"/>
    <w:rsid w:val="7060CBE1"/>
    <w:rsid w:val="70CCDD8F"/>
    <w:rsid w:val="70CD629B"/>
    <w:rsid w:val="70CF1A52"/>
    <w:rsid w:val="7240C17D"/>
    <w:rsid w:val="735B765E"/>
    <w:rsid w:val="739BC3FB"/>
    <w:rsid w:val="74BF0336"/>
    <w:rsid w:val="7507562C"/>
    <w:rsid w:val="754C729D"/>
    <w:rsid w:val="7597B90D"/>
    <w:rsid w:val="76FCC621"/>
    <w:rsid w:val="77540627"/>
    <w:rsid w:val="778CFEB7"/>
    <w:rsid w:val="77E5CBA3"/>
    <w:rsid w:val="7AECC9B8"/>
    <w:rsid w:val="7B00C450"/>
    <w:rsid w:val="7B30E30E"/>
    <w:rsid w:val="7BB318BB"/>
    <w:rsid w:val="7BCE5A0E"/>
    <w:rsid w:val="7C0F7E88"/>
    <w:rsid w:val="7D74BD4C"/>
    <w:rsid w:val="7DF40C08"/>
    <w:rsid w:val="7FA57B8A"/>
    <w:rsid w:val="7FE7A1F3"/>
    <w:rsid w:val="7FEAF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474EB"/>
  <w15:chartTrackingRefBased/>
  <w15:docId w15:val="{D6C2405A-C0C0-451D-990B-B9802DC2F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33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33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33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33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33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33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3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3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3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3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33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3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3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3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3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3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3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395"/>
    <w:rPr>
      <w:rFonts w:eastAsiaTheme="majorEastAsia" w:cstheme="majorBidi"/>
      <w:color w:val="272727" w:themeColor="text1" w:themeTint="D8"/>
    </w:rPr>
  </w:style>
  <w:style w:type="paragraph" w:styleId="Title">
    <w:name w:val="Title"/>
    <w:basedOn w:val="Normal"/>
    <w:next w:val="Normal"/>
    <w:link w:val="TitleChar"/>
    <w:uiPriority w:val="10"/>
    <w:qFormat/>
    <w:rsid w:val="00593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3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395"/>
    <w:pPr>
      <w:spacing w:before="160"/>
      <w:jc w:val="center"/>
    </w:pPr>
    <w:rPr>
      <w:i/>
      <w:iCs/>
      <w:color w:val="404040" w:themeColor="text1" w:themeTint="BF"/>
    </w:rPr>
  </w:style>
  <w:style w:type="character" w:customStyle="1" w:styleId="QuoteChar">
    <w:name w:val="Quote Char"/>
    <w:basedOn w:val="DefaultParagraphFont"/>
    <w:link w:val="Quote"/>
    <w:uiPriority w:val="29"/>
    <w:rsid w:val="00593395"/>
    <w:rPr>
      <w:i/>
      <w:iCs/>
      <w:color w:val="404040" w:themeColor="text1" w:themeTint="BF"/>
    </w:rPr>
  </w:style>
  <w:style w:type="paragraph" w:styleId="ListParagraph">
    <w:name w:val="List Paragraph"/>
    <w:basedOn w:val="Normal"/>
    <w:uiPriority w:val="34"/>
    <w:qFormat/>
    <w:rsid w:val="00593395"/>
    <w:pPr>
      <w:ind w:left="720"/>
      <w:contextualSpacing/>
    </w:pPr>
  </w:style>
  <w:style w:type="character" w:styleId="IntenseEmphasis">
    <w:name w:val="Intense Emphasis"/>
    <w:basedOn w:val="DefaultParagraphFont"/>
    <w:uiPriority w:val="21"/>
    <w:qFormat/>
    <w:rsid w:val="00593395"/>
    <w:rPr>
      <w:i/>
      <w:iCs/>
      <w:color w:val="0F4761" w:themeColor="accent1" w:themeShade="BF"/>
    </w:rPr>
  </w:style>
  <w:style w:type="paragraph" w:styleId="IntenseQuote">
    <w:name w:val="Intense Quote"/>
    <w:basedOn w:val="Normal"/>
    <w:next w:val="Normal"/>
    <w:link w:val="IntenseQuoteChar"/>
    <w:uiPriority w:val="30"/>
    <w:qFormat/>
    <w:rsid w:val="00593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395"/>
    <w:rPr>
      <w:i/>
      <w:iCs/>
      <w:color w:val="0F4761" w:themeColor="accent1" w:themeShade="BF"/>
    </w:rPr>
  </w:style>
  <w:style w:type="character" w:styleId="IntenseReference">
    <w:name w:val="Intense Reference"/>
    <w:basedOn w:val="DefaultParagraphFont"/>
    <w:uiPriority w:val="32"/>
    <w:qFormat/>
    <w:rsid w:val="00593395"/>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TaxCatchAll xmlns="f4edfb27-fdcf-4944-9520-fd54d4f1d725" xsi:nil="true"/>
    <FileType1 xmlns="f4edfb27-fdcf-4944-9520-fd54d4f1d725">Consultee Response</FileType1>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37DF9D06-0233-4D3D-974C-BC16A695740B}"/>
</file>

<file path=customXml/itemProps2.xml><?xml version="1.0" encoding="utf-8"?>
<ds:datastoreItem xmlns:ds="http://schemas.openxmlformats.org/officeDocument/2006/customXml" ds:itemID="{40F56F34-F220-41FE-8416-92CEEB2EFACD}">
  <ds:schemaRefs>
    <ds:schemaRef ds:uri="http://schemas.microsoft.com/sharepoint/v3/contenttype/forms"/>
  </ds:schemaRefs>
</ds:datastoreItem>
</file>

<file path=customXml/itemProps3.xml><?xml version="1.0" encoding="utf-8"?>
<ds:datastoreItem xmlns:ds="http://schemas.openxmlformats.org/officeDocument/2006/customXml" ds:itemID="{6819A0CC-97B0-456B-9DB9-E674A1568845}">
  <ds:schemaRefs>
    <ds:schemaRef ds:uri="http://schemas.microsoft.com/office/2006/metadata/properties"/>
    <ds:schemaRef ds:uri="http://schemas.microsoft.com/office/infopath/2007/PartnerControls"/>
    <ds:schemaRef ds:uri="c252476f-307c-4449-8ed0-1ab28a790b17"/>
    <ds:schemaRef ds:uri="69d0d680-02bd-44d9-8297-442d10bf91af"/>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725</Words>
  <Characters>4137</Characters>
  <Application>Microsoft Office Word</Application>
  <DocSecurity>0</DocSecurity>
  <Lines>34</Lines>
  <Paragraphs>9</Paragraphs>
  <ScaleCrop>false</ScaleCrop>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Colville , Joe (TRANSPORT PLANNER)</dc:creator>
  <cp:keywords/>
  <dc:description/>
  <cp:lastModifiedBy>Colville , Joe (TRANSPORT PLANNER)</cp:lastModifiedBy>
  <cp:revision>34</cp:revision>
  <dcterms:created xsi:type="dcterms:W3CDTF">2026-05-22T13:08:00Z</dcterms:created>
  <dcterms:modified xsi:type="dcterms:W3CDTF">2026-08-06T09:07:00Z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