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19E1" w:rsidRPr="00E73C9E" w:rsidRDefault="00BE19E1" w:rsidP="00BE19E1">
      <w:pPr>
        <w:rPr>
          <w:rFonts w:ascii="Arial" w:hAnsi="Arial" w:cs="Arial"/>
          <w:sz w:val="22"/>
          <w:szCs w:val="22"/>
        </w:rPr>
      </w:pPr>
    </w:p>
    <w:p w:rsidR="00BE19E1" w:rsidRPr="00E73C9E" w:rsidRDefault="009A352C" w:rsidP="00E73C9E">
      <w:pPr>
        <w:pBdr>
          <w:top w:val="single" w:sz="12" w:space="1" w:color="auto"/>
        </w:pBdr>
        <w:rPr>
          <w:rFonts w:ascii="Arial" w:hAnsi="Arial" w:cs="Arial"/>
          <w:b/>
          <w:sz w:val="22"/>
          <w:szCs w:val="22"/>
        </w:rPr>
      </w:pPr>
      <w:r>
        <w:rPr>
          <w:rFonts w:ascii="Arial" w:hAnsi="Arial" w:cs="Arial"/>
          <w:b/>
          <w:sz w:val="22"/>
          <w:szCs w:val="22"/>
        </w:rPr>
        <w:t>Ref</w:t>
      </w:r>
      <w:r w:rsidR="00FE2EF2">
        <w:rPr>
          <w:rFonts w:ascii="Arial" w:hAnsi="Arial" w:cs="Arial"/>
          <w:b/>
          <w:sz w:val="22"/>
          <w:szCs w:val="22"/>
        </w:rPr>
        <w:t xml:space="preserve">: </w:t>
      </w:r>
      <w:r w:rsidR="007D4572" w:rsidRPr="007D4572">
        <w:rPr>
          <w:rFonts w:ascii="Arial" w:hAnsi="Arial" w:cs="Arial"/>
          <w:b/>
          <w:sz w:val="22"/>
          <w:szCs w:val="22"/>
        </w:rPr>
        <w:t>2016/0065</w:t>
      </w:r>
    </w:p>
    <w:p w:rsidR="00BE19E1" w:rsidRPr="00E73C9E" w:rsidRDefault="00BE19E1" w:rsidP="00BE19E1">
      <w:pPr>
        <w:rPr>
          <w:rFonts w:ascii="Arial" w:hAnsi="Arial" w:cs="Arial"/>
          <w:sz w:val="22"/>
          <w:szCs w:val="22"/>
        </w:rPr>
      </w:pPr>
    </w:p>
    <w:p w:rsidR="00BE19E1" w:rsidRPr="00E73C9E" w:rsidRDefault="009A352C" w:rsidP="00BE19E1">
      <w:pPr>
        <w:rPr>
          <w:rFonts w:ascii="Arial" w:hAnsi="Arial" w:cs="Arial"/>
          <w:sz w:val="22"/>
          <w:szCs w:val="22"/>
        </w:rPr>
      </w:pPr>
      <w:r>
        <w:rPr>
          <w:rFonts w:ascii="Arial" w:hAnsi="Arial" w:cs="Arial"/>
          <w:sz w:val="22"/>
          <w:szCs w:val="22"/>
        </w:rPr>
        <w:t>Applicant</w:t>
      </w:r>
      <w:r w:rsidR="00FE2EF2">
        <w:rPr>
          <w:rFonts w:ascii="Arial" w:hAnsi="Arial" w:cs="Arial"/>
          <w:sz w:val="22"/>
          <w:szCs w:val="22"/>
        </w:rPr>
        <w:t>:</w:t>
      </w:r>
      <w:r w:rsidR="007D4572" w:rsidRPr="007D4572">
        <w:t xml:space="preserve"> </w:t>
      </w:r>
      <w:r w:rsidR="007D4572" w:rsidRPr="007D4572">
        <w:rPr>
          <w:rFonts w:ascii="Arial" w:hAnsi="Arial" w:cs="Arial"/>
          <w:sz w:val="22"/>
          <w:szCs w:val="22"/>
        </w:rPr>
        <w:t>Mr David Dickinson</w:t>
      </w:r>
      <w:r w:rsidR="00FE2EF2">
        <w:rPr>
          <w:rFonts w:ascii="Arial" w:hAnsi="Arial" w:cs="Arial"/>
          <w:sz w:val="22"/>
          <w:szCs w:val="22"/>
        </w:rPr>
        <w:t xml:space="preserve"> </w:t>
      </w:r>
      <w:r w:rsidR="00BE19E1" w:rsidRPr="00E73C9E">
        <w:rPr>
          <w:rFonts w:ascii="Arial" w:hAnsi="Arial" w:cs="Arial"/>
          <w:sz w:val="22"/>
          <w:szCs w:val="22"/>
        </w:rPr>
        <w:br/>
      </w:r>
    </w:p>
    <w:p w:rsidR="00BE19E1" w:rsidRPr="007D4572" w:rsidRDefault="009A352C" w:rsidP="00BE19E1">
      <w:pPr>
        <w:rPr>
          <w:rFonts w:ascii="Arial" w:hAnsi="Arial" w:cs="Arial"/>
          <w:sz w:val="22"/>
          <w:szCs w:val="22"/>
        </w:rPr>
      </w:pPr>
      <w:r>
        <w:rPr>
          <w:rFonts w:ascii="Arial" w:hAnsi="Arial" w:cs="Arial"/>
          <w:sz w:val="22"/>
          <w:szCs w:val="22"/>
        </w:rPr>
        <w:t>Description</w:t>
      </w:r>
      <w:r w:rsidR="00FE2EF2">
        <w:rPr>
          <w:rFonts w:ascii="Arial" w:hAnsi="Arial" w:cs="Arial"/>
          <w:sz w:val="22"/>
          <w:szCs w:val="22"/>
        </w:rPr>
        <w:t>:</w:t>
      </w:r>
      <w:r w:rsidR="00BF15E6" w:rsidRPr="00BF15E6">
        <w:t xml:space="preserve"> </w:t>
      </w:r>
      <w:r w:rsidR="007D4572" w:rsidRPr="007D4572">
        <w:rPr>
          <w:rFonts w:ascii="Arial" w:hAnsi="Arial" w:cs="Arial"/>
          <w:sz w:val="22"/>
          <w:szCs w:val="22"/>
        </w:rPr>
        <w:t>Crown lift to 5.2m leaving no pruning wounds greater than 30cm of Sycamore (T1) within TPO 12/1994</w:t>
      </w:r>
    </w:p>
    <w:p w:rsidR="00BE19E1" w:rsidRPr="00E73C9E" w:rsidRDefault="009A352C" w:rsidP="00E73C9E">
      <w:pPr>
        <w:pBdr>
          <w:bottom w:val="single" w:sz="12" w:space="1" w:color="auto"/>
        </w:pBdr>
        <w:rPr>
          <w:rFonts w:ascii="Arial" w:hAnsi="Arial" w:cs="Arial"/>
          <w:sz w:val="22"/>
          <w:szCs w:val="22"/>
        </w:rPr>
      </w:pPr>
      <w:r>
        <w:rPr>
          <w:rFonts w:ascii="Arial" w:hAnsi="Arial" w:cs="Arial"/>
          <w:sz w:val="22"/>
          <w:szCs w:val="22"/>
        </w:rPr>
        <w:t>Site Address</w:t>
      </w:r>
      <w:r w:rsidR="00FE2EF2">
        <w:rPr>
          <w:rFonts w:ascii="Arial" w:hAnsi="Arial" w:cs="Arial"/>
          <w:sz w:val="22"/>
          <w:szCs w:val="22"/>
        </w:rPr>
        <w:t>:</w:t>
      </w:r>
      <w:r w:rsidR="00BF15E6" w:rsidRPr="00BF15E6">
        <w:t xml:space="preserve"> </w:t>
      </w:r>
      <w:r w:rsidR="007D4572" w:rsidRPr="007D4572">
        <w:rPr>
          <w:rFonts w:ascii="Arial" w:hAnsi="Arial" w:cs="Arial"/>
          <w:sz w:val="22"/>
          <w:szCs w:val="22"/>
        </w:rPr>
        <w:t>271 Pontefract Road, Cudworth, Barnsley</w:t>
      </w:r>
    </w:p>
    <w:p w:rsidR="0048294E" w:rsidRPr="00E73C9E" w:rsidRDefault="0048294E" w:rsidP="00BE19E1">
      <w:pPr>
        <w:rPr>
          <w:rFonts w:ascii="Arial" w:hAnsi="Arial" w:cs="Arial"/>
        </w:rPr>
      </w:pPr>
    </w:p>
    <w:p w:rsidR="00BF15E6" w:rsidRDefault="00BD077F" w:rsidP="00BE19E1">
      <w:pPr>
        <w:rPr>
          <w:rFonts w:ascii="Arial" w:hAnsi="Arial" w:cs="Arial"/>
          <w:sz w:val="22"/>
          <w:szCs w:val="22"/>
        </w:rPr>
      </w:pPr>
      <w:r>
        <w:rPr>
          <w:rFonts w:ascii="Arial" w:hAnsi="Arial" w:cs="Arial"/>
          <w:b/>
          <w:sz w:val="22"/>
          <w:szCs w:val="22"/>
        </w:rPr>
        <w:t>Site</w:t>
      </w:r>
      <w:r w:rsidRPr="00E73C9E">
        <w:rPr>
          <w:rFonts w:ascii="Arial" w:hAnsi="Arial" w:cs="Arial"/>
          <w:b/>
          <w:sz w:val="22"/>
          <w:szCs w:val="22"/>
        </w:rPr>
        <w:t xml:space="preserve"> Description</w:t>
      </w:r>
    </w:p>
    <w:p w:rsidR="00BF15E6" w:rsidRDefault="00BF15E6" w:rsidP="00BE19E1">
      <w:pPr>
        <w:rPr>
          <w:rFonts w:ascii="Arial" w:hAnsi="Arial" w:cs="Arial"/>
          <w:sz w:val="22"/>
          <w:szCs w:val="22"/>
        </w:rPr>
      </w:pPr>
    </w:p>
    <w:p w:rsidR="00BF15E6" w:rsidRPr="00E73C9E" w:rsidRDefault="007D4572" w:rsidP="007D4572">
      <w:pPr>
        <w:rPr>
          <w:rFonts w:ascii="Arial" w:hAnsi="Arial" w:cs="Arial"/>
          <w:sz w:val="22"/>
          <w:szCs w:val="22"/>
        </w:rPr>
      </w:pPr>
      <w:r w:rsidRPr="007D4572">
        <w:rPr>
          <w:rFonts w:ascii="Arial" w:hAnsi="Arial" w:cs="Arial"/>
          <w:sz w:val="22"/>
          <w:szCs w:val="22"/>
        </w:rPr>
        <w:t xml:space="preserve">The tree is a large mature Sycamore situated in the rear garden of the property and has significant amenity value. </w:t>
      </w:r>
      <w:r w:rsidR="00844490">
        <w:rPr>
          <w:rFonts w:ascii="Arial" w:hAnsi="Arial" w:cs="Arial"/>
          <w:sz w:val="22"/>
          <w:szCs w:val="22"/>
        </w:rPr>
        <w:t xml:space="preserve">There are no leaves on these pictures but on file the picture shows it in summer. </w:t>
      </w:r>
    </w:p>
    <w:p w:rsidR="007D4572" w:rsidRDefault="007D4572" w:rsidP="00BE19E1">
      <w:pPr>
        <w:rPr>
          <w:rFonts w:ascii="Arial" w:hAnsi="Arial" w:cs="Arial"/>
          <w:b/>
          <w:sz w:val="22"/>
          <w:szCs w:val="22"/>
        </w:rPr>
      </w:pPr>
    </w:p>
    <w:p w:rsidR="00844490" w:rsidRDefault="00844490" w:rsidP="00BE19E1">
      <w:pPr>
        <w:rPr>
          <w:rFonts w:ascii="Arial" w:hAnsi="Arial" w:cs="Arial"/>
          <w:b/>
          <w:sz w:val="22"/>
          <w:szCs w:val="22"/>
        </w:rPr>
      </w:pPr>
      <w:r>
        <w:rPr>
          <w:rFonts w:ascii="Arial" w:hAnsi="Arial" w:cs="Arial"/>
          <w:b/>
          <w:noProof/>
          <w:sz w:val="22"/>
          <w:szCs w:val="22"/>
          <w:lang w:eastAsia="en-GB"/>
        </w:rPr>
        <w:drawing>
          <wp:inline distT="0" distB="0" distL="0" distR="0">
            <wp:extent cx="2743200" cy="2057400"/>
            <wp:effectExtent l="0" t="0" r="0" b="0"/>
            <wp:docPr id="4" name="Picture 4" descr="F:\Keiron Dunn DC files\site photos\2016\02.10.16\IMG_38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Keiron Dunn DC files\site photos\2016\02.10.16\IMG_381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43200" cy="2057400"/>
                    </a:xfrm>
                    <a:prstGeom prst="rect">
                      <a:avLst/>
                    </a:prstGeom>
                    <a:noFill/>
                    <a:ln>
                      <a:noFill/>
                    </a:ln>
                  </pic:spPr>
                </pic:pic>
              </a:graphicData>
            </a:graphic>
          </wp:inline>
        </w:drawing>
      </w:r>
      <w:r>
        <w:rPr>
          <w:rFonts w:ascii="Arial" w:hAnsi="Arial" w:cs="Arial"/>
          <w:b/>
          <w:noProof/>
          <w:sz w:val="22"/>
          <w:szCs w:val="22"/>
          <w:lang w:eastAsia="en-GB"/>
        </w:rPr>
        <w:drawing>
          <wp:inline distT="0" distB="0" distL="0" distR="0">
            <wp:extent cx="2714625" cy="2038350"/>
            <wp:effectExtent l="0" t="0" r="9525" b="0"/>
            <wp:docPr id="6" name="Picture 6" descr="F:\Keiron Dunn DC files\site photos\2016\02.10.16\IMG_38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Keiron Dunn DC files\site photos\2016\02.10.16\IMG_381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14625" cy="2038350"/>
                    </a:xfrm>
                    <a:prstGeom prst="rect">
                      <a:avLst/>
                    </a:prstGeom>
                    <a:noFill/>
                    <a:ln>
                      <a:noFill/>
                    </a:ln>
                  </pic:spPr>
                </pic:pic>
              </a:graphicData>
            </a:graphic>
          </wp:inline>
        </w:drawing>
      </w:r>
    </w:p>
    <w:p w:rsidR="00844490" w:rsidRDefault="00844490" w:rsidP="00BE19E1">
      <w:pPr>
        <w:rPr>
          <w:rFonts w:ascii="Arial" w:hAnsi="Arial" w:cs="Arial"/>
          <w:b/>
          <w:sz w:val="22"/>
          <w:szCs w:val="22"/>
        </w:rPr>
      </w:pPr>
    </w:p>
    <w:p w:rsidR="00BE19E1" w:rsidRDefault="00BE19E1" w:rsidP="00BE19E1">
      <w:pPr>
        <w:rPr>
          <w:rFonts w:ascii="Arial" w:hAnsi="Arial" w:cs="Arial"/>
          <w:b/>
          <w:sz w:val="22"/>
          <w:szCs w:val="22"/>
        </w:rPr>
      </w:pPr>
      <w:r w:rsidRPr="00E73C9E">
        <w:rPr>
          <w:rFonts w:ascii="Arial" w:hAnsi="Arial" w:cs="Arial"/>
          <w:b/>
          <w:sz w:val="22"/>
          <w:szCs w:val="22"/>
        </w:rPr>
        <w:t>Proposed Development</w:t>
      </w:r>
    </w:p>
    <w:p w:rsidR="007D4572" w:rsidRDefault="007D4572" w:rsidP="00BE19E1">
      <w:pPr>
        <w:rPr>
          <w:rFonts w:ascii="Arial" w:hAnsi="Arial" w:cs="Arial"/>
          <w:b/>
          <w:sz w:val="22"/>
          <w:szCs w:val="22"/>
        </w:rPr>
      </w:pPr>
    </w:p>
    <w:p w:rsidR="00875BB6" w:rsidRPr="007D4572" w:rsidRDefault="007D4572" w:rsidP="00BE19E1">
      <w:pPr>
        <w:rPr>
          <w:rFonts w:ascii="Arial" w:hAnsi="Arial" w:cs="Arial"/>
          <w:sz w:val="22"/>
          <w:szCs w:val="22"/>
        </w:rPr>
      </w:pPr>
      <w:r w:rsidRPr="007D4572">
        <w:rPr>
          <w:rFonts w:ascii="Arial" w:hAnsi="Arial" w:cs="Arial"/>
          <w:sz w:val="22"/>
          <w:szCs w:val="22"/>
        </w:rPr>
        <w:t xml:space="preserve">Crown lift Sycamore </w:t>
      </w:r>
      <w:r>
        <w:rPr>
          <w:rFonts w:ascii="Arial" w:hAnsi="Arial" w:cs="Arial"/>
          <w:sz w:val="22"/>
          <w:szCs w:val="22"/>
        </w:rPr>
        <w:t>to 5.2m.</w:t>
      </w:r>
      <w:r w:rsidR="00844490">
        <w:rPr>
          <w:rFonts w:ascii="Arial" w:hAnsi="Arial" w:cs="Arial"/>
          <w:sz w:val="22"/>
          <w:szCs w:val="22"/>
        </w:rPr>
        <w:t xml:space="preserve"> Previous approval given for similar works.</w:t>
      </w:r>
      <w:bookmarkStart w:id="0" w:name="_GoBack"/>
      <w:bookmarkEnd w:id="0"/>
    </w:p>
    <w:p w:rsidR="00BF15E6" w:rsidRPr="00E73C9E" w:rsidRDefault="00BF15E6" w:rsidP="00BE19E1">
      <w:pPr>
        <w:rPr>
          <w:rFonts w:ascii="Arial" w:hAnsi="Arial" w:cs="Arial"/>
          <w:sz w:val="22"/>
          <w:szCs w:val="22"/>
        </w:rPr>
      </w:pPr>
    </w:p>
    <w:p w:rsidR="00875BB6" w:rsidRPr="00875BB6" w:rsidRDefault="00875BB6" w:rsidP="00875BB6">
      <w:pPr>
        <w:rPr>
          <w:rFonts w:ascii="Arial" w:hAnsi="Arial" w:cs="Arial"/>
          <w:b/>
          <w:sz w:val="22"/>
          <w:szCs w:val="22"/>
        </w:rPr>
      </w:pPr>
      <w:r w:rsidRPr="00875BB6">
        <w:rPr>
          <w:rFonts w:ascii="Arial" w:hAnsi="Arial" w:cs="Arial"/>
          <w:b/>
          <w:sz w:val="22"/>
          <w:szCs w:val="22"/>
        </w:rPr>
        <w:t>Policy Context</w:t>
      </w:r>
    </w:p>
    <w:p w:rsidR="00875BB6" w:rsidRPr="00875BB6" w:rsidRDefault="00875BB6" w:rsidP="00875BB6">
      <w:pPr>
        <w:rPr>
          <w:rFonts w:ascii="Arial" w:hAnsi="Arial" w:cs="Arial"/>
          <w:b/>
          <w:sz w:val="22"/>
          <w:szCs w:val="22"/>
        </w:rPr>
      </w:pPr>
      <w:r w:rsidRPr="00875BB6">
        <w:rPr>
          <w:rFonts w:ascii="Arial" w:hAnsi="Arial" w:cs="Arial"/>
          <w:b/>
          <w:sz w:val="22"/>
          <w:szCs w:val="22"/>
        </w:rPr>
        <w:t xml:space="preserve"> </w:t>
      </w:r>
    </w:p>
    <w:p w:rsidR="00875BB6" w:rsidRPr="00875BB6" w:rsidRDefault="00875BB6" w:rsidP="00875BB6">
      <w:pPr>
        <w:rPr>
          <w:rFonts w:ascii="Arial" w:hAnsi="Arial" w:cs="Arial"/>
          <w:sz w:val="22"/>
          <w:szCs w:val="22"/>
        </w:rPr>
      </w:pPr>
      <w:r w:rsidRPr="00875BB6">
        <w:rPr>
          <w:rFonts w:ascii="Arial" w:hAnsi="Arial" w:cs="Arial"/>
          <w:sz w:val="22"/>
          <w:szCs w:val="22"/>
        </w:rPr>
        <w:t>The statue law on TPO’s is in the Town and Country Planning Act 1990 and in the Town and Country Planning (Trees) Regulations 1999.</w:t>
      </w:r>
    </w:p>
    <w:p w:rsidR="00875BB6" w:rsidRPr="00875BB6" w:rsidRDefault="00875BB6" w:rsidP="00875BB6">
      <w:pPr>
        <w:rPr>
          <w:rFonts w:ascii="Arial" w:hAnsi="Arial" w:cs="Arial"/>
          <w:sz w:val="22"/>
          <w:szCs w:val="22"/>
        </w:rPr>
      </w:pPr>
    </w:p>
    <w:p w:rsidR="00875BB6" w:rsidRPr="00875BB6" w:rsidRDefault="00875BB6" w:rsidP="00875BB6">
      <w:pPr>
        <w:rPr>
          <w:rFonts w:ascii="Arial" w:hAnsi="Arial" w:cs="Arial"/>
          <w:sz w:val="22"/>
          <w:szCs w:val="22"/>
        </w:rPr>
      </w:pPr>
      <w:r w:rsidRPr="00875BB6">
        <w:rPr>
          <w:rFonts w:ascii="Arial" w:hAnsi="Arial" w:cs="Arial"/>
          <w:sz w:val="22"/>
          <w:szCs w:val="22"/>
        </w:rPr>
        <w:t>Primarily the aim of making a TPO is to protect the amenity value of the tree or trees. LPAs may make a TPO if it appears to them to be: 'expedient in the interests of amenity to make provision for the preservation of trees or woodlands in their area'.</w:t>
      </w:r>
    </w:p>
    <w:p w:rsidR="00875BB6" w:rsidRPr="00875BB6" w:rsidRDefault="00875BB6" w:rsidP="00875BB6">
      <w:pPr>
        <w:rPr>
          <w:rFonts w:ascii="Arial" w:hAnsi="Arial" w:cs="Arial"/>
          <w:sz w:val="22"/>
          <w:szCs w:val="22"/>
        </w:rPr>
      </w:pPr>
    </w:p>
    <w:p w:rsidR="00875BB6" w:rsidRPr="00875BB6" w:rsidRDefault="00875BB6" w:rsidP="00875BB6">
      <w:pPr>
        <w:rPr>
          <w:rFonts w:ascii="Arial" w:hAnsi="Arial" w:cs="Arial"/>
          <w:sz w:val="22"/>
          <w:szCs w:val="22"/>
        </w:rPr>
      </w:pPr>
      <w:r w:rsidRPr="00875BB6">
        <w:rPr>
          <w:rFonts w:ascii="Arial" w:hAnsi="Arial" w:cs="Arial"/>
          <w:sz w:val="22"/>
          <w:szCs w:val="22"/>
        </w:rPr>
        <w:t>The Act does not define 'amenity', nor does it prescribe the circumstances in which it is in the interests of amenity to make a TPO. Normally trees should be visible from a public place e.g. road or footpath for a TPO to be made but the courts have decided that trees should be protected for “pleasure, protection and shade they provide”. Taking this into account trees should be considered for other aspects of amenity that they provide other than visual amenity.</w:t>
      </w:r>
    </w:p>
    <w:p w:rsidR="00875BB6" w:rsidRPr="00875BB6" w:rsidRDefault="00875BB6" w:rsidP="00875BB6">
      <w:pPr>
        <w:rPr>
          <w:rFonts w:ascii="Arial" w:hAnsi="Arial" w:cs="Arial"/>
          <w:sz w:val="22"/>
          <w:szCs w:val="22"/>
        </w:rPr>
      </w:pPr>
    </w:p>
    <w:p w:rsidR="00875BB6" w:rsidRPr="00875BB6" w:rsidRDefault="00875BB6" w:rsidP="00875BB6">
      <w:pPr>
        <w:rPr>
          <w:rFonts w:ascii="Arial" w:hAnsi="Arial" w:cs="Arial"/>
          <w:sz w:val="22"/>
          <w:szCs w:val="22"/>
        </w:rPr>
      </w:pPr>
      <w:r w:rsidRPr="00875BB6">
        <w:rPr>
          <w:rFonts w:ascii="Arial" w:hAnsi="Arial" w:cs="Arial"/>
          <w:sz w:val="22"/>
          <w:szCs w:val="22"/>
        </w:rPr>
        <w:t xml:space="preserve">Government advice and guidance available on the administration of TPOs, is:- ‘Tree Preservation Orders: A Guide to the law and Good Practice’ 2000. </w:t>
      </w:r>
    </w:p>
    <w:p w:rsidR="00875BB6" w:rsidRPr="00875BB6" w:rsidRDefault="00875BB6" w:rsidP="00875BB6">
      <w:pPr>
        <w:rPr>
          <w:rFonts w:ascii="Arial" w:hAnsi="Arial" w:cs="Arial"/>
          <w:sz w:val="22"/>
          <w:szCs w:val="22"/>
        </w:rPr>
      </w:pPr>
    </w:p>
    <w:p w:rsidR="00875BB6" w:rsidRPr="00875BB6" w:rsidRDefault="00875BB6" w:rsidP="00875BB6">
      <w:pPr>
        <w:rPr>
          <w:rFonts w:ascii="Arial" w:hAnsi="Arial" w:cs="Arial"/>
          <w:sz w:val="22"/>
          <w:szCs w:val="22"/>
        </w:rPr>
      </w:pPr>
      <w:r w:rsidRPr="00875BB6">
        <w:rPr>
          <w:rFonts w:ascii="Arial" w:hAnsi="Arial" w:cs="Arial"/>
          <w:sz w:val="22"/>
          <w:szCs w:val="22"/>
        </w:rPr>
        <w:t xml:space="preserve">The guidance states that ‘LPAs must include in their plans land use and development policies designed to secure the conservation of natural beauty and amenity of the land. Plans should not, however, include policies which are unrelated to the development or use of land. They should not therefore include the LPA's policies for deciding applications for consent under a TPO; but they should include policies on measures that the LPA will take, when dealing with applications to </w:t>
      </w:r>
      <w:r w:rsidRPr="00875BB6">
        <w:rPr>
          <w:rFonts w:ascii="Arial" w:hAnsi="Arial" w:cs="Arial"/>
          <w:sz w:val="22"/>
          <w:szCs w:val="22"/>
        </w:rPr>
        <w:lastRenderedPageBreak/>
        <w:t xml:space="preserve">develop land, to protect trees and other natural features and provide for new tree planting and landscaping.’ </w:t>
      </w:r>
    </w:p>
    <w:p w:rsidR="00875BB6" w:rsidRPr="00875BB6" w:rsidRDefault="00875BB6" w:rsidP="00875BB6">
      <w:pPr>
        <w:rPr>
          <w:rFonts w:ascii="Arial" w:hAnsi="Arial" w:cs="Arial"/>
          <w:b/>
          <w:sz w:val="22"/>
          <w:szCs w:val="22"/>
        </w:rPr>
      </w:pPr>
    </w:p>
    <w:p w:rsidR="00320BBC" w:rsidRPr="00875BB6" w:rsidRDefault="00875BB6" w:rsidP="00875BB6">
      <w:pPr>
        <w:rPr>
          <w:rFonts w:ascii="Arial" w:hAnsi="Arial" w:cs="Arial"/>
          <w:sz w:val="22"/>
          <w:szCs w:val="22"/>
          <w:lang w:eastAsia="en-GB"/>
        </w:rPr>
      </w:pPr>
      <w:r w:rsidRPr="00875BB6">
        <w:rPr>
          <w:rFonts w:ascii="Arial" w:hAnsi="Arial" w:cs="Arial"/>
          <w:sz w:val="22"/>
          <w:szCs w:val="22"/>
        </w:rPr>
        <w:t xml:space="preserve">In deciding an application the LPA’s are not required to have regard to the development plan. Section 54A of the Act, 88 therefore, does not apply to the LPA's decision, which means that there is no general duty on the LPA to </w:t>
      </w:r>
      <w:r w:rsidR="00320BBC" w:rsidRPr="00875BB6">
        <w:rPr>
          <w:rFonts w:ascii="Arial" w:hAnsi="Arial" w:cs="Arial"/>
          <w:sz w:val="22"/>
          <w:szCs w:val="22"/>
          <w:lang w:eastAsia="en-GB"/>
        </w:rPr>
        <w:t>indicate otherwise.</w:t>
      </w:r>
    </w:p>
    <w:p w:rsidR="00BE19E1" w:rsidRPr="00E73C9E" w:rsidRDefault="00BE19E1" w:rsidP="00BE19E1">
      <w:pPr>
        <w:rPr>
          <w:rFonts w:ascii="Arial" w:hAnsi="Arial" w:cs="Arial"/>
          <w:sz w:val="22"/>
          <w:szCs w:val="22"/>
        </w:rPr>
      </w:pPr>
    </w:p>
    <w:p w:rsidR="00BE19E1" w:rsidRPr="00E73C9E" w:rsidRDefault="00BE19E1" w:rsidP="00BE19E1">
      <w:pPr>
        <w:rPr>
          <w:rFonts w:ascii="Arial" w:hAnsi="Arial" w:cs="Arial"/>
          <w:b/>
          <w:sz w:val="22"/>
          <w:szCs w:val="22"/>
        </w:rPr>
      </w:pPr>
      <w:r w:rsidRPr="00E73C9E">
        <w:rPr>
          <w:rFonts w:ascii="Arial" w:hAnsi="Arial" w:cs="Arial"/>
          <w:b/>
          <w:sz w:val="22"/>
          <w:szCs w:val="22"/>
        </w:rPr>
        <w:t>Consultations</w:t>
      </w:r>
    </w:p>
    <w:p w:rsidR="00E0581B" w:rsidRDefault="00E0581B" w:rsidP="00E0581B">
      <w:pPr>
        <w:rPr>
          <w:rFonts w:ascii="Arial" w:hAnsi="Arial" w:cs="Arial"/>
          <w:sz w:val="22"/>
          <w:szCs w:val="22"/>
        </w:rPr>
      </w:pPr>
    </w:p>
    <w:p w:rsidR="00875BB6" w:rsidRDefault="00710371" w:rsidP="00DD265F">
      <w:r>
        <w:rPr>
          <w:rFonts w:ascii="Arial" w:hAnsi="Arial" w:cs="Arial"/>
          <w:sz w:val="22"/>
          <w:szCs w:val="22"/>
        </w:rPr>
        <w:t>Trees-</w:t>
      </w:r>
      <w:r w:rsidR="00875BB6" w:rsidRPr="00875BB6">
        <w:t xml:space="preserve"> </w:t>
      </w:r>
      <w:r w:rsidR="007D4572" w:rsidRPr="007D4572">
        <w:rPr>
          <w:rFonts w:ascii="Arial" w:hAnsi="Arial" w:cs="Arial"/>
          <w:sz w:val="22"/>
          <w:szCs w:val="22"/>
        </w:rPr>
        <w:t>No objections subject to conditions.</w:t>
      </w:r>
    </w:p>
    <w:p w:rsidR="00B03F26" w:rsidRDefault="00B03F26" w:rsidP="00DD265F"/>
    <w:p w:rsidR="006B4AF8" w:rsidRPr="00E73C9E" w:rsidRDefault="006B4AF8" w:rsidP="00BE19E1">
      <w:pPr>
        <w:rPr>
          <w:rFonts w:ascii="Arial" w:hAnsi="Arial" w:cs="Arial"/>
          <w:sz w:val="22"/>
          <w:szCs w:val="22"/>
        </w:rPr>
      </w:pPr>
    </w:p>
    <w:p w:rsidR="00BE19E1" w:rsidRPr="00E73C9E" w:rsidRDefault="00BE19E1" w:rsidP="00BE19E1">
      <w:pPr>
        <w:rPr>
          <w:rFonts w:ascii="Arial" w:hAnsi="Arial" w:cs="Arial"/>
          <w:b/>
          <w:sz w:val="22"/>
          <w:szCs w:val="22"/>
        </w:rPr>
      </w:pPr>
      <w:r w:rsidRPr="00E73C9E">
        <w:rPr>
          <w:rFonts w:ascii="Arial" w:hAnsi="Arial" w:cs="Arial"/>
          <w:b/>
          <w:sz w:val="22"/>
          <w:szCs w:val="22"/>
        </w:rPr>
        <w:t>Representations</w:t>
      </w:r>
    </w:p>
    <w:p w:rsidR="00BE19E1" w:rsidRPr="00E73C9E" w:rsidRDefault="00BE19E1" w:rsidP="00BE19E1">
      <w:pPr>
        <w:rPr>
          <w:rFonts w:ascii="Arial" w:hAnsi="Arial" w:cs="Arial"/>
          <w:sz w:val="22"/>
          <w:szCs w:val="22"/>
        </w:rPr>
      </w:pPr>
    </w:p>
    <w:p w:rsidR="00BD077F" w:rsidRDefault="00BD077F" w:rsidP="00BE19E1">
      <w:pPr>
        <w:rPr>
          <w:rFonts w:ascii="Arial" w:hAnsi="Arial" w:cs="Arial"/>
          <w:b/>
          <w:sz w:val="22"/>
          <w:szCs w:val="22"/>
        </w:rPr>
      </w:pPr>
    </w:p>
    <w:p w:rsidR="00BE19E1" w:rsidRPr="00E73C9E" w:rsidRDefault="00BE19E1" w:rsidP="00BE19E1">
      <w:pPr>
        <w:rPr>
          <w:rFonts w:ascii="Arial" w:hAnsi="Arial" w:cs="Arial"/>
          <w:b/>
          <w:sz w:val="22"/>
          <w:szCs w:val="22"/>
        </w:rPr>
      </w:pPr>
      <w:r w:rsidRPr="00E73C9E">
        <w:rPr>
          <w:rFonts w:ascii="Arial" w:hAnsi="Arial" w:cs="Arial"/>
          <w:b/>
          <w:sz w:val="22"/>
          <w:szCs w:val="22"/>
        </w:rPr>
        <w:t>Assessment</w:t>
      </w:r>
    </w:p>
    <w:p w:rsidR="00BE19E1" w:rsidRPr="00E73C9E" w:rsidRDefault="00BE19E1" w:rsidP="00BE19E1">
      <w:pPr>
        <w:rPr>
          <w:rFonts w:ascii="Arial" w:hAnsi="Arial" w:cs="Arial"/>
          <w:b/>
          <w:sz w:val="22"/>
          <w:szCs w:val="22"/>
        </w:rPr>
      </w:pPr>
    </w:p>
    <w:p w:rsidR="00875BB6" w:rsidRPr="00875BB6" w:rsidRDefault="00875BB6" w:rsidP="00875BB6">
      <w:pPr>
        <w:rPr>
          <w:rFonts w:ascii="Arial" w:hAnsi="Arial" w:cs="Arial"/>
          <w:color w:val="000000"/>
          <w:sz w:val="22"/>
          <w:szCs w:val="22"/>
          <w:u w:val="single"/>
          <w:lang w:val="en-US"/>
        </w:rPr>
      </w:pPr>
      <w:r w:rsidRPr="00875BB6">
        <w:rPr>
          <w:rFonts w:ascii="Arial" w:hAnsi="Arial" w:cs="Arial"/>
          <w:color w:val="000000"/>
          <w:sz w:val="22"/>
          <w:szCs w:val="22"/>
          <w:u w:val="single"/>
          <w:lang w:val="en-US"/>
        </w:rPr>
        <w:t xml:space="preserve">Principle of development </w:t>
      </w:r>
    </w:p>
    <w:p w:rsidR="00875BB6" w:rsidRPr="00875BB6" w:rsidRDefault="00875BB6" w:rsidP="00875BB6">
      <w:pPr>
        <w:rPr>
          <w:rFonts w:ascii="Arial" w:hAnsi="Arial" w:cs="Arial"/>
          <w:color w:val="000000"/>
          <w:sz w:val="22"/>
          <w:szCs w:val="22"/>
          <w:u w:val="single"/>
          <w:lang w:val="en-US"/>
        </w:rPr>
      </w:pPr>
    </w:p>
    <w:p w:rsidR="00875BB6" w:rsidRPr="00875BB6" w:rsidRDefault="00875BB6" w:rsidP="00875BB6">
      <w:pPr>
        <w:rPr>
          <w:rFonts w:ascii="Arial" w:hAnsi="Arial" w:cs="Arial"/>
          <w:color w:val="000000"/>
          <w:sz w:val="22"/>
          <w:szCs w:val="22"/>
          <w:lang w:val="en-US"/>
        </w:rPr>
      </w:pPr>
      <w:r w:rsidRPr="00875BB6">
        <w:rPr>
          <w:rFonts w:ascii="Arial" w:hAnsi="Arial" w:cs="Arial"/>
          <w:color w:val="000000"/>
          <w:sz w:val="22"/>
          <w:szCs w:val="22"/>
          <w:lang w:val="en-US"/>
        </w:rPr>
        <w:t xml:space="preserve">In line with good practice, primarily the aim of making a TPO is to protect the amenity value of the tree or trees. In considering TPO applications the LPA is advised: </w:t>
      </w:r>
    </w:p>
    <w:p w:rsidR="00875BB6" w:rsidRPr="00875BB6" w:rsidRDefault="00875BB6" w:rsidP="00875BB6">
      <w:pPr>
        <w:rPr>
          <w:rFonts w:ascii="Arial" w:hAnsi="Arial" w:cs="Arial"/>
          <w:color w:val="000000"/>
          <w:sz w:val="22"/>
          <w:szCs w:val="22"/>
          <w:lang w:val="en-US"/>
        </w:rPr>
      </w:pPr>
    </w:p>
    <w:p w:rsidR="00875BB6" w:rsidRPr="00875BB6" w:rsidRDefault="00875BB6" w:rsidP="00875BB6">
      <w:pPr>
        <w:rPr>
          <w:rFonts w:ascii="Arial" w:hAnsi="Arial" w:cs="Arial"/>
          <w:color w:val="000000"/>
          <w:sz w:val="22"/>
          <w:szCs w:val="22"/>
          <w:lang w:val="en-US"/>
        </w:rPr>
      </w:pPr>
      <w:r w:rsidRPr="00875BB6">
        <w:rPr>
          <w:rFonts w:ascii="Arial" w:hAnsi="Arial" w:cs="Arial"/>
          <w:color w:val="000000"/>
          <w:sz w:val="22"/>
          <w:szCs w:val="22"/>
          <w:lang w:val="en-US"/>
        </w:rPr>
        <w:t xml:space="preserve">(1) to assess the amenity value of the tree or woodland and the likely impact of the proposal on the amenity of the area, and </w:t>
      </w:r>
    </w:p>
    <w:p w:rsidR="00875BB6" w:rsidRPr="00875BB6" w:rsidRDefault="00875BB6" w:rsidP="00875BB6">
      <w:pPr>
        <w:rPr>
          <w:rFonts w:ascii="Arial" w:hAnsi="Arial" w:cs="Arial"/>
          <w:color w:val="000000"/>
          <w:sz w:val="22"/>
          <w:szCs w:val="22"/>
          <w:lang w:val="en-US"/>
        </w:rPr>
      </w:pPr>
    </w:p>
    <w:p w:rsidR="00875BB6" w:rsidRPr="00875BB6" w:rsidRDefault="00875BB6" w:rsidP="00875BB6">
      <w:pPr>
        <w:rPr>
          <w:rFonts w:ascii="Arial" w:hAnsi="Arial" w:cs="Arial"/>
          <w:color w:val="000000"/>
          <w:sz w:val="22"/>
          <w:szCs w:val="22"/>
          <w:lang w:val="en-US"/>
        </w:rPr>
      </w:pPr>
      <w:r w:rsidRPr="00875BB6">
        <w:rPr>
          <w:rFonts w:ascii="Arial" w:hAnsi="Arial" w:cs="Arial"/>
          <w:color w:val="000000"/>
          <w:sz w:val="22"/>
          <w:szCs w:val="22"/>
          <w:lang w:val="en-US"/>
        </w:rPr>
        <w:t xml:space="preserve">(2) in the light of their assessment at (1) above, to consider whether or not the proposal is justified, having regard to the reasons put forward in support of it. </w:t>
      </w:r>
    </w:p>
    <w:p w:rsidR="00875BB6" w:rsidRPr="00875BB6" w:rsidRDefault="00875BB6" w:rsidP="00875BB6">
      <w:pPr>
        <w:rPr>
          <w:rFonts w:ascii="Arial" w:hAnsi="Arial" w:cs="Arial"/>
          <w:color w:val="000000"/>
          <w:sz w:val="22"/>
          <w:szCs w:val="22"/>
          <w:lang w:val="en-US"/>
        </w:rPr>
      </w:pPr>
    </w:p>
    <w:p w:rsidR="00875BB6" w:rsidRPr="00875BB6" w:rsidRDefault="00875BB6" w:rsidP="00875BB6">
      <w:pPr>
        <w:rPr>
          <w:rFonts w:ascii="Arial" w:hAnsi="Arial" w:cs="Arial"/>
          <w:color w:val="000000"/>
          <w:sz w:val="22"/>
          <w:szCs w:val="22"/>
          <w:lang w:val="en-US"/>
        </w:rPr>
      </w:pPr>
      <w:r w:rsidRPr="00875BB6">
        <w:rPr>
          <w:rFonts w:ascii="Arial" w:hAnsi="Arial" w:cs="Arial"/>
          <w:color w:val="000000"/>
          <w:sz w:val="22"/>
          <w:szCs w:val="22"/>
          <w:lang w:val="en-US"/>
        </w:rPr>
        <w:t>The application is as described above.  The works applied for are in accordance with good practice and British Standards and are considered to be acceptable and justified.</w:t>
      </w:r>
    </w:p>
    <w:p w:rsidR="00875BB6" w:rsidRPr="00875BB6" w:rsidRDefault="00875BB6" w:rsidP="00875BB6">
      <w:pPr>
        <w:rPr>
          <w:rFonts w:ascii="Arial" w:hAnsi="Arial" w:cs="Arial"/>
          <w:color w:val="000000"/>
          <w:sz w:val="22"/>
          <w:szCs w:val="22"/>
          <w:u w:val="single"/>
          <w:lang w:val="en-US"/>
        </w:rPr>
      </w:pPr>
    </w:p>
    <w:p w:rsidR="00875BB6" w:rsidRPr="00875BB6" w:rsidRDefault="00875BB6" w:rsidP="00875BB6">
      <w:pPr>
        <w:rPr>
          <w:rFonts w:ascii="Arial" w:hAnsi="Arial" w:cs="Arial"/>
          <w:color w:val="000000"/>
          <w:sz w:val="22"/>
          <w:szCs w:val="22"/>
          <w:u w:val="single"/>
          <w:lang w:val="en-US"/>
        </w:rPr>
      </w:pPr>
      <w:r w:rsidRPr="00875BB6">
        <w:rPr>
          <w:rFonts w:ascii="Arial" w:hAnsi="Arial" w:cs="Arial"/>
          <w:color w:val="000000"/>
          <w:sz w:val="22"/>
          <w:szCs w:val="22"/>
          <w:u w:val="single"/>
          <w:lang w:val="en-US"/>
        </w:rPr>
        <w:t>Visual Amenity</w:t>
      </w:r>
    </w:p>
    <w:p w:rsidR="00875BB6" w:rsidRPr="00875BB6" w:rsidRDefault="00875BB6" w:rsidP="00875BB6">
      <w:pPr>
        <w:rPr>
          <w:rFonts w:ascii="Arial" w:hAnsi="Arial" w:cs="Arial"/>
          <w:color w:val="000000"/>
          <w:sz w:val="22"/>
          <w:szCs w:val="22"/>
          <w:u w:val="single"/>
          <w:lang w:val="en-US"/>
        </w:rPr>
      </w:pPr>
    </w:p>
    <w:p w:rsidR="007D4572" w:rsidRPr="007D4572" w:rsidRDefault="007D4572" w:rsidP="007D4572">
      <w:pPr>
        <w:rPr>
          <w:rFonts w:ascii="Arial" w:hAnsi="Arial" w:cs="Arial"/>
          <w:color w:val="000000"/>
          <w:sz w:val="22"/>
          <w:szCs w:val="22"/>
          <w:lang w:val="en-US"/>
        </w:rPr>
      </w:pPr>
      <w:r w:rsidRPr="007D4572">
        <w:rPr>
          <w:rFonts w:ascii="Arial" w:hAnsi="Arial" w:cs="Arial"/>
          <w:color w:val="000000"/>
          <w:sz w:val="22"/>
          <w:szCs w:val="22"/>
          <w:lang w:val="en-US"/>
        </w:rPr>
        <w:t>An application was approved previously to crown lift the tree to 5m and crown thin removing no more than 30% of the total leafing area back in 2011. This current application if for crown lifting the tree again to 5.2m which is basically maintenance of the previous crown lift. As such there is no objection to the proposed works as when a tree has been crown lifted then maintenance is required to keep the level of clearance.</w:t>
      </w:r>
    </w:p>
    <w:p w:rsidR="007D4572" w:rsidRPr="007D4572" w:rsidRDefault="007D4572" w:rsidP="007D4572">
      <w:pPr>
        <w:rPr>
          <w:rFonts w:ascii="Arial" w:hAnsi="Arial" w:cs="Arial"/>
          <w:color w:val="000000"/>
          <w:sz w:val="22"/>
          <w:szCs w:val="22"/>
          <w:lang w:val="en-US"/>
        </w:rPr>
      </w:pPr>
    </w:p>
    <w:p w:rsidR="00B03F26" w:rsidRPr="007D4572" w:rsidRDefault="007D4572" w:rsidP="00875BB6">
      <w:pPr>
        <w:rPr>
          <w:rFonts w:ascii="Arial" w:hAnsi="Arial" w:cs="Arial"/>
          <w:color w:val="000000"/>
          <w:sz w:val="22"/>
          <w:szCs w:val="22"/>
          <w:lang w:val="en-US"/>
        </w:rPr>
      </w:pPr>
      <w:r w:rsidRPr="007D4572">
        <w:rPr>
          <w:rFonts w:ascii="Arial" w:hAnsi="Arial" w:cs="Arial"/>
          <w:color w:val="000000"/>
          <w:sz w:val="22"/>
          <w:szCs w:val="22"/>
          <w:lang w:val="en-US"/>
        </w:rPr>
        <w:t>The works proposed are appropriate and in line with good arboricultural practice and as such there is no objection to the crown lifting works proposed.</w:t>
      </w:r>
    </w:p>
    <w:p w:rsidR="00875BB6" w:rsidRDefault="00875BB6" w:rsidP="00875BB6">
      <w:pPr>
        <w:rPr>
          <w:rFonts w:ascii="Arial" w:hAnsi="Arial" w:cs="Arial"/>
          <w:color w:val="000000"/>
          <w:sz w:val="22"/>
          <w:szCs w:val="22"/>
          <w:lang w:val="en-US"/>
        </w:rPr>
      </w:pPr>
    </w:p>
    <w:p w:rsidR="00BE19E1" w:rsidRPr="00E73C9E" w:rsidRDefault="00BE19E1" w:rsidP="00875BB6">
      <w:pPr>
        <w:rPr>
          <w:rFonts w:ascii="Arial" w:hAnsi="Arial" w:cs="Arial"/>
          <w:b/>
          <w:sz w:val="22"/>
          <w:szCs w:val="22"/>
        </w:rPr>
      </w:pPr>
      <w:r w:rsidRPr="00E73C9E">
        <w:rPr>
          <w:rFonts w:ascii="Arial" w:hAnsi="Arial" w:cs="Arial"/>
          <w:b/>
          <w:sz w:val="22"/>
          <w:szCs w:val="22"/>
        </w:rPr>
        <w:t>Recommendation</w:t>
      </w:r>
    </w:p>
    <w:p w:rsidR="00BE19E1" w:rsidRPr="00E73C9E" w:rsidRDefault="00BE19E1" w:rsidP="00BE19E1">
      <w:pPr>
        <w:rPr>
          <w:rFonts w:ascii="Arial" w:hAnsi="Arial" w:cs="Arial"/>
          <w:sz w:val="22"/>
          <w:szCs w:val="22"/>
        </w:rPr>
      </w:pPr>
    </w:p>
    <w:p w:rsidR="000241B2" w:rsidRPr="00E73C9E" w:rsidRDefault="00BE19E1" w:rsidP="00BE19E1">
      <w:pPr>
        <w:rPr>
          <w:rFonts w:ascii="Arial" w:hAnsi="Arial" w:cs="Arial"/>
          <w:sz w:val="22"/>
          <w:szCs w:val="22"/>
        </w:rPr>
      </w:pPr>
      <w:r w:rsidRPr="00E73C9E">
        <w:rPr>
          <w:rFonts w:ascii="Arial" w:hAnsi="Arial" w:cs="Arial"/>
          <w:b/>
          <w:sz w:val="22"/>
          <w:szCs w:val="22"/>
        </w:rPr>
        <w:t>Grant</w:t>
      </w:r>
      <w:r w:rsidR="00E73C9E">
        <w:rPr>
          <w:rFonts w:ascii="Arial" w:hAnsi="Arial" w:cs="Arial"/>
          <w:sz w:val="22"/>
          <w:szCs w:val="22"/>
        </w:rPr>
        <w:t xml:space="preserve"> s</w:t>
      </w:r>
      <w:r w:rsidRPr="00E73C9E">
        <w:rPr>
          <w:rFonts w:ascii="Arial" w:hAnsi="Arial" w:cs="Arial"/>
          <w:sz w:val="22"/>
          <w:szCs w:val="22"/>
        </w:rPr>
        <w:t>ubject to</w:t>
      </w:r>
      <w:r w:rsidR="00CC5473">
        <w:rPr>
          <w:rFonts w:ascii="Arial" w:hAnsi="Arial" w:cs="Arial"/>
          <w:sz w:val="22"/>
          <w:szCs w:val="22"/>
        </w:rPr>
        <w:t xml:space="preserve"> conditions</w:t>
      </w:r>
    </w:p>
    <w:p w:rsidR="00611C16" w:rsidRPr="00E73C9E" w:rsidRDefault="00611C16" w:rsidP="00BE19E1">
      <w:pPr>
        <w:rPr>
          <w:rFonts w:ascii="Arial" w:hAnsi="Arial" w:cs="Arial"/>
          <w:sz w:val="22"/>
          <w:szCs w:val="22"/>
        </w:rPr>
      </w:pPr>
      <w:r w:rsidRPr="00E73C9E">
        <w:rPr>
          <w:rFonts w:ascii="Arial" w:hAnsi="Arial" w:cs="Arial"/>
          <w:sz w:val="22"/>
          <w:szCs w:val="22"/>
        </w:rPr>
        <w:br/>
      </w:r>
    </w:p>
    <w:p w:rsidR="000451F7" w:rsidRPr="00E73C9E" w:rsidRDefault="000451F7" w:rsidP="00BE19E1">
      <w:pPr>
        <w:rPr>
          <w:rFonts w:ascii="Arial" w:hAnsi="Arial" w:cs="Arial"/>
          <w:sz w:val="22"/>
          <w:szCs w:val="22"/>
        </w:rPr>
      </w:pPr>
    </w:p>
    <w:p w:rsidR="00221ADE" w:rsidRPr="00E73C9E" w:rsidRDefault="00221ADE" w:rsidP="00BE19E1">
      <w:pPr>
        <w:rPr>
          <w:rFonts w:ascii="Arial" w:hAnsi="Arial" w:cs="Arial"/>
          <w:sz w:val="22"/>
          <w:szCs w:val="22"/>
        </w:rPr>
      </w:pPr>
      <w:r w:rsidRPr="00E73C9E">
        <w:rPr>
          <w:rFonts w:ascii="Arial" w:hAnsi="Arial" w:cs="Arial"/>
          <w:sz w:val="22"/>
          <w:szCs w:val="22"/>
        </w:rPr>
        <w:br/>
      </w:r>
    </w:p>
    <w:sectPr w:rsidR="00221ADE" w:rsidRPr="00E73C9E" w:rsidSect="000241B2">
      <w:pgSz w:w="11906" w:h="16838"/>
      <w:pgMar w:top="1440" w:right="1152" w:bottom="1079" w:left="115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62294F"/>
    <w:multiLevelType w:val="hybridMultilevel"/>
    <w:tmpl w:val="51BCFB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4572"/>
    <w:rsid w:val="000241B2"/>
    <w:rsid w:val="000451F7"/>
    <w:rsid w:val="000D1AC6"/>
    <w:rsid w:val="001000CF"/>
    <w:rsid w:val="00101461"/>
    <w:rsid w:val="001075DB"/>
    <w:rsid w:val="00124EDB"/>
    <w:rsid w:val="00181FAD"/>
    <w:rsid w:val="00182CD2"/>
    <w:rsid w:val="0019247D"/>
    <w:rsid w:val="00221ADE"/>
    <w:rsid w:val="002B5086"/>
    <w:rsid w:val="002E4ABB"/>
    <w:rsid w:val="002E5BAE"/>
    <w:rsid w:val="003114B6"/>
    <w:rsid w:val="00320BBC"/>
    <w:rsid w:val="00323ADC"/>
    <w:rsid w:val="003517E0"/>
    <w:rsid w:val="0037237A"/>
    <w:rsid w:val="003746E2"/>
    <w:rsid w:val="00395188"/>
    <w:rsid w:val="003A260C"/>
    <w:rsid w:val="004562F3"/>
    <w:rsid w:val="004619F2"/>
    <w:rsid w:val="0048294E"/>
    <w:rsid w:val="004D3BD1"/>
    <w:rsid w:val="00530F21"/>
    <w:rsid w:val="00532598"/>
    <w:rsid w:val="00545124"/>
    <w:rsid w:val="00611C16"/>
    <w:rsid w:val="006909E5"/>
    <w:rsid w:val="006B4AF8"/>
    <w:rsid w:val="006B6496"/>
    <w:rsid w:val="006B7F79"/>
    <w:rsid w:val="00710371"/>
    <w:rsid w:val="007D4572"/>
    <w:rsid w:val="007E6549"/>
    <w:rsid w:val="00806545"/>
    <w:rsid w:val="00844490"/>
    <w:rsid w:val="00851C42"/>
    <w:rsid w:val="00875BB6"/>
    <w:rsid w:val="00880061"/>
    <w:rsid w:val="008B0A5A"/>
    <w:rsid w:val="00953551"/>
    <w:rsid w:val="00957F65"/>
    <w:rsid w:val="009655AD"/>
    <w:rsid w:val="009739DF"/>
    <w:rsid w:val="009A352C"/>
    <w:rsid w:val="009C64FA"/>
    <w:rsid w:val="009F2E68"/>
    <w:rsid w:val="00A15140"/>
    <w:rsid w:val="00A24F02"/>
    <w:rsid w:val="00A377A8"/>
    <w:rsid w:val="00B03F26"/>
    <w:rsid w:val="00B14F81"/>
    <w:rsid w:val="00B14FB9"/>
    <w:rsid w:val="00B20ED9"/>
    <w:rsid w:val="00B62699"/>
    <w:rsid w:val="00B7177E"/>
    <w:rsid w:val="00BC6E8F"/>
    <w:rsid w:val="00BD077F"/>
    <w:rsid w:val="00BE19E1"/>
    <w:rsid w:val="00BE28FA"/>
    <w:rsid w:val="00BF15E6"/>
    <w:rsid w:val="00C10A76"/>
    <w:rsid w:val="00C23BE6"/>
    <w:rsid w:val="00C406B3"/>
    <w:rsid w:val="00CB261A"/>
    <w:rsid w:val="00CC0BCF"/>
    <w:rsid w:val="00CC47C7"/>
    <w:rsid w:val="00CC5473"/>
    <w:rsid w:val="00CD0E02"/>
    <w:rsid w:val="00CE7AB1"/>
    <w:rsid w:val="00D128AE"/>
    <w:rsid w:val="00D17F2A"/>
    <w:rsid w:val="00D2218E"/>
    <w:rsid w:val="00D274BA"/>
    <w:rsid w:val="00D40CBE"/>
    <w:rsid w:val="00D665BD"/>
    <w:rsid w:val="00D66C23"/>
    <w:rsid w:val="00D81623"/>
    <w:rsid w:val="00DD0B64"/>
    <w:rsid w:val="00DD265F"/>
    <w:rsid w:val="00DD67EC"/>
    <w:rsid w:val="00DF19AE"/>
    <w:rsid w:val="00E0581B"/>
    <w:rsid w:val="00E12F73"/>
    <w:rsid w:val="00E216BD"/>
    <w:rsid w:val="00E72A17"/>
    <w:rsid w:val="00E73C9E"/>
    <w:rsid w:val="00E916BA"/>
    <w:rsid w:val="00F15C63"/>
    <w:rsid w:val="00F245F4"/>
    <w:rsid w:val="00F65918"/>
    <w:rsid w:val="00F71263"/>
    <w:rsid w:val="00F904EE"/>
    <w:rsid w:val="00FB3E11"/>
    <w:rsid w:val="00FC2563"/>
    <w:rsid w:val="00FD4699"/>
    <w:rsid w:val="00FD5DF5"/>
    <w:rsid w:val="00FE2EF2"/>
    <w:rsid w:val="00FE74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E19E1"/>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sid w:val="003517E0"/>
    <w:rPr>
      <w:rFonts w:ascii="Courier New" w:hAnsi="Courier New" w:cs="Courier New"/>
      <w:sz w:val="20"/>
      <w:szCs w:val="20"/>
    </w:rPr>
  </w:style>
  <w:style w:type="table" w:styleId="TableGrid">
    <w:name w:val="Table Grid"/>
    <w:basedOn w:val="TableNormal"/>
    <w:rsid w:val="00BE19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C5473"/>
    <w:rPr>
      <w:rFonts w:ascii="Tahoma" w:hAnsi="Tahoma" w:cs="Tahoma"/>
      <w:sz w:val="16"/>
      <w:szCs w:val="16"/>
    </w:rPr>
  </w:style>
  <w:style w:type="paragraph" w:styleId="ListParagraph">
    <w:name w:val="List Paragraph"/>
    <w:basedOn w:val="Normal"/>
    <w:uiPriority w:val="34"/>
    <w:qFormat/>
    <w:rsid w:val="00B03F2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E19E1"/>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sid w:val="003517E0"/>
    <w:rPr>
      <w:rFonts w:ascii="Courier New" w:hAnsi="Courier New" w:cs="Courier New"/>
      <w:sz w:val="20"/>
      <w:szCs w:val="20"/>
    </w:rPr>
  </w:style>
  <w:style w:type="table" w:styleId="TableGrid">
    <w:name w:val="Table Grid"/>
    <w:basedOn w:val="TableNormal"/>
    <w:rsid w:val="00BE19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C5473"/>
    <w:rPr>
      <w:rFonts w:ascii="Tahoma" w:hAnsi="Tahoma" w:cs="Tahoma"/>
      <w:sz w:val="16"/>
      <w:szCs w:val="16"/>
    </w:rPr>
  </w:style>
  <w:style w:type="paragraph" w:styleId="ListParagraph">
    <w:name w:val="List Paragraph"/>
    <w:basedOn w:val="Normal"/>
    <w:uiPriority w:val="34"/>
    <w:qFormat/>
    <w:rsid w:val="00B03F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436706">
      <w:bodyDiv w:val="1"/>
      <w:marLeft w:val="0"/>
      <w:marRight w:val="0"/>
      <w:marTop w:val="0"/>
      <w:marBottom w:val="0"/>
      <w:divBdr>
        <w:top w:val="none" w:sz="0" w:space="0" w:color="auto"/>
        <w:left w:val="none" w:sz="0" w:space="0" w:color="auto"/>
        <w:bottom w:val="none" w:sz="0" w:space="0" w:color="auto"/>
        <w:right w:val="none" w:sz="0" w:space="0" w:color="auto"/>
      </w:divBdr>
    </w:div>
    <w:div w:id="586378344">
      <w:bodyDiv w:val="1"/>
      <w:marLeft w:val="0"/>
      <w:marRight w:val="0"/>
      <w:marTop w:val="0"/>
      <w:marBottom w:val="0"/>
      <w:divBdr>
        <w:top w:val="none" w:sz="0" w:space="0" w:color="auto"/>
        <w:left w:val="none" w:sz="0" w:space="0" w:color="auto"/>
        <w:bottom w:val="none" w:sz="0" w:space="0" w:color="auto"/>
        <w:right w:val="none" w:sz="0" w:space="0" w:color="auto"/>
      </w:divBdr>
    </w:div>
    <w:div w:id="1082987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customXml" Target="../customXml/item1.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F:\Templates\Officer%20Report%20Tre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Consultee response</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E0234021-9E91-4854-88A3-68DE826CDDF3}"/>
</file>

<file path=customXml/itemProps2.xml><?xml version="1.0" encoding="utf-8"?>
<ds:datastoreItem xmlns:ds="http://schemas.openxmlformats.org/officeDocument/2006/customXml" ds:itemID="{3369B96C-09AC-4C3B-AB3C-AA88AE3F6D29}"/>
</file>

<file path=customXml/itemProps3.xml><?xml version="1.0" encoding="utf-8"?>
<ds:datastoreItem xmlns:ds="http://schemas.openxmlformats.org/officeDocument/2006/customXml" ds:itemID="{D487F7DD-7407-4B85-A466-BE9AECFB9444}"/>
</file>

<file path=docProps/app.xml><?xml version="1.0" encoding="utf-8"?>
<Properties xmlns="http://schemas.openxmlformats.org/officeDocument/2006/extended-properties" xmlns:vt="http://schemas.openxmlformats.org/officeDocument/2006/docPropsVTypes">
  <Template>Officer Report Trees.dot</Template>
  <TotalTime>13</TotalTime>
  <Pages>2</Pages>
  <Words>565</Words>
  <Characters>3225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Officer Report -  Main Body Of Document</vt:lpstr>
    </vt:vector>
  </TitlesOfParts>
  <Company>MVM Consultants plc</Company>
  <LinksUpToDate>false</LinksUpToDate>
  <CharactersWithSpaces>3783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Officer Report -  Main Body Of Document</dc:title>
  <dc:creator>Barnsley MBC</dc:creator>
  <cp:lastModifiedBy>Barnsley MBC</cp:lastModifiedBy>
  <cp:revision>1</cp:revision>
  <cp:lastPrinted>2013-01-30T10:06:00Z</cp:lastPrinted>
  <dcterms:created xsi:type="dcterms:W3CDTF">2016-03-09T10:06:00Z</dcterms:created>
  <dcterms:modified xsi:type="dcterms:W3CDTF">2016-03-09T10:20:00Z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_CopySource">
    <vt:lpwstr>nothing</vt:lpwstr>
  </property>
</Properties>
</file>