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CD348" w14:textId="77777777" w:rsidR="0012734D" w:rsidRDefault="0012734D"/>
    <w:p w14:paraId="660BA5F7" w14:textId="77777777" w:rsidR="0012734D" w:rsidRDefault="0012734D"/>
    <w:p w14:paraId="3AA3D36E" w14:textId="6C6A03A9" w:rsidR="0012734D" w:rsidRPr="005E0C16" w:rsidRDefault="005E0C16" w:rsidP="005E0C16">
      <w:pPr>
        <w:jc w:val="center"/>
        <w:rPr>
          <w:b/>
          <w:bCs/>
        </w:rPr>
      </w:pPr>
      <w:r w:rsidRPr="005E0C16">
        <w:rPr>
          <w:b/>
          <w:bCs/>
        </w:rPr>
        <w:t>Heritage Statement</w:t>
      </w:r>
    </w:p>
    <w:p w14:paraId="384C67FE" w14:textId="77777777" w:rsidR="0012734D" w:rsidRDefault="0012734D"/>
    <w:p w14:paraId="722EC2BF" w14:textId="39F2F276" w:rsidR="00146A99" w:rsidRDefault="00146A99">
      <w:r>
        <w:t xml:space="preserve">This statement is in support of an application to have an EV charger installed at the property. The proposed location is on the external wall within the internal courtyard of the Barley House property as per below. </w:t>
      </w:r>
    </w:p>
    <w:p w14:paraId="05941921" w14:textId="586EE690" w:rsidR="00146A99" w:rsidRDefault="00146A99"/>
    <w:p w14:paraId="35C0D8E0" w14:textId="318FF52F" w:rsidR="00BD282F" w:rsidRDefault="002E1CA9">
      <w:r>
        <w:rPr>
          <w:noProof/>
        </w:rPr>
        <mc:AlternateContent>
          <mc:Choice Requires="wps">
            <w:drawing>
              <wp:anchor distT="0" distB="0" distL="114300" distR="114300" simplePos="0" relativeHeight="251659264" behindDoc="0" locked="0" layoutInCell="1" allowOverlap="1" wp14:anchorId="313C68FF" wp14:editId="6C9282E0">
                <wp:simplePos x="0" y="0"/>
                <wp:positionH relativeFrom="column">
                  <wp:posOffset>2362200</wp:posOffset>
                </wp:positionH>
                <wp:positionV relativeFrom="paragraph">
                  <wp:posOffset>306070</wp:posOffset>
                </wp:positionV>
                <wp:extent cx="790575" cy="561975"/>
                <wp:effectExtent l="38100" t="19050" r="28575" b="47625"/>
                <wp:wrapNone/>
                <wp:docPr id="1120308197" name="Straight Arrow Connector 1"/>
                <wp:cNvGraphicFramePr/>
                <a:graphic xmlns:a="http://schemas.openxmlformats.org/drawingml/2006/main">
                  <a:graphicData uri="http://schemas.microsoft.com/office/word/2010/wordprocessingShape">
                    <wps:wsp>
                      <wps:cNvCnPr/>
                      <wps:spPr>
                        <a:xfrm flipH="1">
                          <a:off x="0" y="0"/>
                          <a:ext cx="790575" cy="5619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65A968" id="_x0000_t32" coordsize="21600,21600" o:spt="32" o:oned="t" path="m,l21600,21600e" filled="f">
                <v:path arrowok="t" fillok="f" o:connecttype="none"/>
                <o:lock v:ext="edit" shapetype="t"/>
              </v:shapetype>
              <v:shape id="Straight Arrow Connector 1" o:spid="_x0000_s1026" type="#_x0000_t32" style="position:absolute;margin-left:186pt;margin-top:24.1pt;width:62.25pt;height:44.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D3k3QEAABYEAAAOAAAAZHJzL2Uyb0RvYy54bWysU0uP2yAQvlfqf0DcGzuRsg8rzh6y3fZQ&#10;tas+fgCLBxsJA4JpbP/7DjhxmraXVr0gMPO9hvHuYewNO0KI2tmar1clZ2Cla7Rta/7t69ObO84i&#10;CtsI4yzUfILIH/avX+0GX8HGdc40EBiR2FgNvuYdoq+KIsoOehFXzoOlS+VCL5COoS2aIAZi702x&#10;KcubYnCh8cFJiJG+Ps6XfJ/5lQKJn5SKgMzUnLxhXkNeX9Ja7HeiaoPwnZYnG+IfXPRCWxJdqB4F&#10;CvY96N+oei2Di07hSrq+cEppCTkDpVmXv6T50gkPOQs1J/qlTfH/0cqPx4N9DtSGwccq+ueQUowq&#10;9EwZ7d/Tm+Zc5JSNuW3T0jYYkUn6eHtfbm+3nEm62t6s72lPfMVMk+h8iPgOXM/SpuYRg9Bthwdn&#10;LT2QC7OEOH6IOAPPgAQ2lg0139wliXSOzujmSRuTD2lO4GACOwp6YRzXJ+mrKhTavLUNw8nTCGLQ&#10;wrYGTpXGktdL+LzDycCs/RkU0w2FnD3mubzoCSnB4lnTWKpOMEXuFmA5u742eg081Sco5Jn9G/CC&#10;yMrO4gLutXXhT+qXNqm5/tyBOXdqwYtrpjwWuTU0fPlBTz9Kmu6fzxl++Z33PwAAAP//AwBQSwME&#10;FAAGAAgAAAAhAKZW2gbgAAAACgEAAA8AAABkcnMvZG93bnJldi54bWxMj7tOw0AQRXsk/mE1SDSI&#10;rHES2zFeRwgpBXQkNHQb72Bb7MN4J7Hz9wwVlKM5uvfcajs7K844xj54BQ+LBAT6JpjetwreD7v7&#10;AkQk7Y22waOCC0bY1tdXlS5NmPwbnvfUCg7xsdQKOqKhlDI2HTodF2FAz7/PMDpNfI6tNKOeONxZ&#10;mSZJJp3uPTd0esDnDpuv/ckpOFA6ruf87mPXT6+WXjah+L4EpW5v5qdHEIQz/cHwq8/qULPTMZy8&#10;icIqWOYpbyEFqyIFwcBqk61BHJlcZjnIupL/J9Q/AAAA//8DAFBLAQItABQABgAIAAAAIQC2gziS&#10;/gAAAOEBAAATAAAAAAAAAAAAAAAAAAAAAABbQ29udGVudF9UeXBlc10ueG1sUEsBAi0AFAAGAAgA&#10;AAAhADj9If/WAAAAlAEAAAsAAAAAAAAAAAAAAAAALwEAAF9yZWxzLy5yZWxzUEsBAi0AFAAGAAgA&#10;AAAhABisPeTdAQAAFgQAAA4AAAAAAAAAAAAAAAAALgIAAGRycy9lMm9Eb2MueG1sUEsBAi0AFAAG&#10;AAgAAAAhAKZW2gbgAAAACgEAAA8AAAAAAAAAAAAAAAAANwQAAGRycy9kb3ducmV2LnhtbFBLBQYA&#10;AAAABAAEAPMAAABEBQAAAAA=&#10;" strokecolor="black [3213]" strokeweight="2.25pt">
                <v:stroke endarrow="block" joinstyle="miter"/>
              </v:shape>
            </w:pict>
          </mc:Fallback>
        </mc:AlternateContent>
      </w:r>
      <w:r w:rsidR="00BD282F">
        <w:rPr>
          <w:noProof/>
        </w:rPr>
        <w:drawing>
          <wp:inline distT="0" distB="0" distL="0" distR="0" wp14:anchorId="5F160BC4" wp14:editId="6BCE47ED">
            <wp:extent cx="4076700" cy="2847975"/>
            <wp:effectExtent l="0" t="0" r="0" b="9525"/>
            <wp:docPr id="1435938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38545" name=""/>
                    <pic:cNvPicPr/>
                  </pic:nvPicPr>
                  <pic:blipFill>
                    <a:blip r:embed="rId4"/>
                    <a:stretch>
                      <a:fillRect/>
                    </a:stretch>
                  </pic:blipFill>
                  <pic:spPr>
                    <a:xfrm>
                      <a:off x="0" y="0"/>
                      <a:ext cx="4076700" cy="2847975"/>
                    </a:xfrm>
                    <a:prstGeom prst="rect">
                      <a:avLst/>
                    </a:prstGeom>
                  </pic:spPr>
                </pic:pic>
              </a:graphicData>
            </a:graphic>
          </wp:inline>
        </w:drawing>
      </w:r>
    </w:p>
    <w:p w14:paraId="1A01890E" w14:textId="77777777" w:rsidR="00BD282F" w:rsidRDefault="00BD282F"/>
    <w:p w14:paraId="646051C6" w14:textId="4D77496F" w:rsidR="00146A99" w:rsidRPr="0012734D" w:rsidRDefault="00146A99">
      <w:pPr>
        <w:rPr>
          <w:sz w:val="22"/>
          <w:szCs w:val="22"/>
        </w:rPr>
      </w:pPr>
      <w:r w:rsidRPr="0012734D">
        <w:rPr>
          <w:sz w:val="22"/>
          <w:szCs w:val="22"/>
        </w:rPr>
        <w:t xml:space="preserve">The existing property is a recent barn conversion (in the year 2000). It is constructed in narrow coursed stone rubble walling with stone dressings to openings under a steeply pitched artificial stone slate roof. </w:t>
      </w:r>
    </w:p>
    <w:p w14:paraId="4B622872" w14:textId="0AA0BE79" w:rsidR="00146A99" w:rsidRPr="00146A99" w:rsidRDefault="00146A99" w:rsidP="00146A99">
      <w:pPr>
        <w:rPr>
          <w:b/>
          <w:bCs/>
          <w:sz w:val="22"/>
          <w:szCs w:val="22"/>
        </w:rPr>
      </w:pPr>
      <w:r w:rsidRPr="00146A99">
        <w:rPr>
          <w:b/>
          <w:bCs/>
          <w:sz w:val="22"/>
          <w:szCs w:val="22"/>
        </w:rPr>
        <w:t xml:space="preserve">Heritage Asset </w:t>
      </w:r>
    </w:p>
    <w:p w14:paraId="0FB683D8" w14:textId="0F8FD47A" w:rsidR="00146A99" w:rsidRPr="00146A99" w:rsidRDefault="00146A99" w:rsidP="00146A99">
      <w:pPr>
        <w:rPr>
          <w:sz w:val="22"/>
          <w:szCs w:val="22"/>
        </w:rPr>
      </w:pPr>
      <w:r w:rsidRPr="0012734D">
        <w:rPr>
          <w:sz w:val="22"/>
          <w:szCs w:val="22"/>
        </w:rPr>
        <w:t>Barley House</w:t>
      </w:r>
      <w:r w:rsidRPr="00146A99">
        <w:rPr>
          <w:sz w:val="22"/>
          <w:szCs w:val="22"/>
        </w:rPr>
        <w:t xml:space="preserve"> is part of a L shaped group of farm buildings and stabling which is Grade II listed (23rd November 1987). The farm buildings were part of Upper Elmhirst Farm and they stand to the south west of the main farm house and adjacent to South Lane. The buildings sit within the open countryside and are a fine example of rural and farming heritage. </w:t>
      </w:r>
    </w:p>
    <w:p w14:paraId="67ECB48E" w14:textId="77777777" w:rsidR="00146A99" w:rsidRPr="00146A99" w:rsidRDefault="00146A99" w:rsidP="00146A99">
      <w:pPr>
        <w:rPr>
          <w:sz w:val="22"/>
          <w:szCs w:val="22"/>
        </w:rPr>
      </w:pPr>
      <w:r w:rsidRPr="00146A99">
        <w:rPr>
          <w:sz w:val="22"/>
          <w:szCs w:val="22"/>
        </w:rPr>
        <w:t xml:space="preserve">The listing describes the building as: </w:t>
      </w:r>
    </w:p>
    <w:p w14:paraId="2B31DC40" w14:textId="74490608" w:rsidR="00394AD2" w:rsidRPr="0012734D" w:rsidRDefault="00146A99" w:rsidP="00146A99">
      <w:pPr>
        <w:rPr>
          <w:i/>
          <w:iCs/>
          <w:sz w:val="22"/>
          <w:szCs w:val="22"/>
        </w:rPr>
      </w:pPr>
      <w:r w:rsidRPr="0012734D">
        <w:rPr>
          <w:i/>
          <w:iCs/>
          <w:sz w:val="22"/>
          <w:szCs w:val="22"/>
        </w:rPr>
        <w:t xml:space="preserve">Range of barns and stabling. Late C18 or early C19. Thinly-coursed rubble. Stone slate roof. L-shape plan. Two storeys. Two, large, segmental-headed cart entries, to left, with quoined jambs. Three small quoined entrances to right, two of which have slightly-cambered heads. Two square pitching-holes at high level. At far left the range returns at 90° and has a quoined entrance and a single-light window. Roof hipped at right end. Rear main range: two, quoined, square-headed </w:t>
      </w:r>
      <w:r w:rsidRPr="0012734D">
        <w:rPr>
          <w:i/>
          <w:iCs/>
          <w:sz w:val="22"/>
          <w:szCs w:val="22"/>
        </w:rPr>
        <w:lastRenderedPageBreak/>
        <w:t>opposed cart entries. Some later lights. Symmetrical arrangement of round-arched ventilation loops. Interior: slender queen-post roof trusses.</w:t>
      </w:r>
    </w:p>
    <w:p w14:paraId="1D864D30" w14:textId="1A092B9A" w:rsidR="002E1CA9" w:rsidRPr="0012734D" w:rsidRDefault="0002404A" w:rsidP="00394AD2">
      <w:pPr>
        <w:rPr>
          <w:b/>
          <w:bCs/>
          <w:i/>
          <w:iCs/>
        </w:rPr>
      </w:pPr>
      <w:r w:rsidRPr="0002404A">
        <w:rPr>
          <w:b/>
          <w:bCs/>
          <w:i/>
          <w:iCs/>
        </w:rPr>
        <w:t>DESIGN</w:t>
      </w:r>
      <w:r w:rsidR="00394AD2">
        <w:rPr>
          <w:b/>
          <w:bCs/>
          <w:i/>
          <w:iCs/>
        </w:rPr>
        <w:t xml:space="preserve"> &amp; LOCATION</w:t>
      </w:r>
    </w:p>
    <w:p w14:paraId="3D0AB5D2" w14:textId="1FD4A4ED" w:rsidR="00394AD2" w:rsidRDefault="002E1CA9" w:rsidP="00394AD2">
      <w:r w:rsidRPr="0012734D">
        <w:rPr>
          <w:noProof/>
          <w:sz w:val="22"/>
          <w:szCs w:val="22"/>
        </w:rPr>
        <mc:AlternateContent>
          <mc:Choice Requires="wps">
            <w:drawing>
              <wp:anchor distT="0" distB="0" distL="114300" distR="114300" simplePos="0" relativeHeight="251663360" behindDoc="0" locked="0" layoutInCell="1" allowOverlap="1" wp14:anchorId="3BC7D1DE" wp14:editId="3D7390CD">
                <wp:simplePos x="0" y="0"/>
                <wp:positionH relativeFrom="column">
                  <wp:posOffset>1895475</wp:posOffset>
                </wp:positionH>
                <wp:positionV relativeFrom="paragraph">
                  <wp:posOffset>1918335</wp:posOffset>
                </wp:positionV>
                <wp:extent cx="419100" cy="1009650"/>
                <wp:effectExtent l="57150" t="19050" r="38100" b="57150"/>
                <wp:wrapNone/>
                <wp:docPr id="584204241" name="Straight Arrow Connector 3"/>
                <wp:cNvGraphicFramePr/>
                <a:graphic xmlns:a="http://schemas.openxmlformats.org/drawingml/2006/main">
                  <a:graphicData uri="http://schemas.microsoft.com/office/word/2010/wordprocessingShape">
                    <wps:wsp>
                      <wps:cNvCnPr/>
                      <wps:spPr>
                        <a:xfrm flipH="1">
                          <a:off x="0" y="0"/>
                          <a:ext cx="419100" cy="1009650"/>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2873D8" id="Straight Arrow Connector 3" o:spid="_x0000_s1026" type="#_x0000_t32" style="position:absolute;margin-left:149.25pt;margin-top:151.05pt;width:33pt;height:7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KQ4QEAABcEAAAOAAAAZHJzL2Uyb0RvYy54bWysU8Fu1DAQvSPxD5bvbJKKFrrabA9bCgcE&#10;FdAPcJ1xYsmxLXvYJH/P2MlmWThRcbHseN6b954nu7uxN+wIIWpna15tSs7AStdo29b86cfDm/ec&#10;RRS2EcZZqPkEkd/tX7/aDX4LV65zpoHAiMTG7eBr3iH6bVFE2UEv4sZ5sHSpXOgF0jG0RRPEQOy9&#10;Ka7K8qYYXGh8cBJipK/38yXfZ36lQOJXpSIgMzUnbZjXkNfntBb7ndi2QfhOy0WGeIGKXmhLTVeq&#10;e4GC/Qz6L6pey+CiU7iRri+cUlpC9kBuqvIPN9874SF7oXCiX2OK/49Wfjke7GOgGAYft9E/huRi&#10;VKFnymj/id40+yKlbMyxTWtsMCKT9PFtdVuVFK6kK9rc3lznXIuZJ/H5EPEjuJ6lTc0jBqHbDg/O&#10;WnohF+Ye4vg5Iikh4AmQwMayoebX7yqiTefojG4etDH5kAYFDiawo6AnxrFKT0oMF1UotPlgG4aT&#10;pxnEoIVtDSyVxhLg7D7vcDIw9/4GiumGXM4a82Ce+wkpweKpp7FUnWCK1K3ARfWl0EvgUp+gkIf2&#10;X8ArInd2Fldwr60Lc2aX3c8xqbn+lMDsO0Xw7Jopz0WOhqYvp7r8KWm8fz9n+Pl/3v8CAAD//wMA&#10;UEsDBBQABgAIAAAAIQAslm1n4gAAAAsBAAAPAAAAZHJzL2Rvd25yZXYueG1sTI89T8MwEIZ3JP6D&#10;dUgsiDpJm6iEOFXERycYCB06urGJA/E5st02/HuOCca7e/Te81ab2Y7spH0YHApIFwkwjZ1TA/YC&#10;du/Pt2tgIUpUcnSoBXzrAJv68qKSpXJnfNOnNvaMQjCUUoCJcSo5D53RVoaFmzTS7cN5KyONvufK&#10;yzOF25FnSVJwKwekD0ZO+sHo7qs9WgGx2T7Nedubz5vto/FZ7prXl70Q11dzcw8s6jn+wfCrT+pQ&#10;k9PBHVEFNgrI7tY5oQKWSZYCI2JZrGhzELAq0hR4XfH/HeofAAAA//8DAFBLAQItABQABgAIAAAA&#10;IQC2gziS/gAAAOEBAAATAAAAAAAAAAAAAAAAAAAAAABbQ29udGVudF9UeXBlc10ueG1sUEsBAi0A&#10;FAAGAAgAAAAhADj9If/WAAAAlAEAAAsAAAAAAAAAAAAAAAAALwEAAF9yZWxzLy5yZWxzUEsBAi0A&#10;FAAGAAgAAAAhADA+MpDhAQAAFwQAAA4AAAAAAAAAAAAAAAAALgIAAGRycy9lMm9Eb2MueG1sUEsB&#10;Ai0AFAAGAAgAAAAhACyWbWfiAAAACwEAAA8AAAAAAAAAAAAAAAAAOwQAAGRycy9kb3ducmV2Lnht&#10;bFBLBQYAAAAABAAEAPMAAABKBQAAAAA=&#10;" strokecolor="black [3213]" strokeweight="4.5pt">
                <v:stroke endarrow="block" joinstyle="miter"/>
              </v:shape>
            </w:pict>
          </mc:Fallback>
        </mc:AlternateContent>
      </w:r>
      <w:r w:rsidRPr="0012734D">
        <w:rPr>
          <w:noProof/>
          <w:sz w:val="22"/>
          <w:szCs w:val="22"/>
        </w:rPr>
        <w:drawing>
          <wp:anchor distT="0" distB="0" distL="114300" distR="114300" simplePos="0" relativeHeight="251661312" behindDoc="0" locked="0" layoutInCell="1" allowOverlap="1" wp14:anchorId="3A2881B9" wp14:editId="50D52B51">
            <wp:simplePos x="0" y="0"/>
            <wp:positionH relativeFrom="page">
              <wp:posOffset>826135</wp:posOffset>
            </wp:positionH>
            <wp:positionV relativeFrom="paragraph">
              <wp:posOffset>622935</wp:posOffset>
            </wp:positionV>
            <wp:extent cx="5731510" cy="4222750"/>
            <wp:effectExtent l="0" t="0" r="2540" b="6350"/>
            <wp:wrapSquare wrapText="bothSides"/>
            <wp:docPr id="1614501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01666" name=""/>
                    <pic:cNvPicPr/>
                  </pic:nvPicPr>
                  <pic:blipFill>
                    <a:blip r:embed="rId5">
                      <a:extLst>
                        <a:ext uri="{28A0092B-C50C-407E-A947-70E740481C1C}">
                          <a14:useLocalDpi xmlns:a14="http://schemas.microsoft.com/office/drawing/2010/main" val="0"/>
                        </a:ext>
                      </a:extLst>
                    </a:blip>
                    <a:stretch>
                      <a:fillRect/>
                    </a:stretch>
                  </pic:blipFill>
                  <pic:spPr>
                    <a:xfrm>
                      <a:off x="0" y="0"/>
                      <a:ext cx="5731510" cy="4222750"/>
                    </a:xfrm>
                    <a:prstGeom prst="rect">
                      <a:avLst/>
                    </a:prstGeom>
                  </pic:spPr>
                </pic:pic>
              </a:graphicData>
            </a:graphic>
            <wp14:sizeRelH relativeFrom="page">
              <wp14:pctWidth>0</wp14:pctWidth>
            </wp14:sizeRelH>
            <wp14:sizeRelV relativeFrom="page">
              <wp14:pctHeight>0</wp14:pctHeight>
            </wp14:sizeRelV>
          </wp:anchor>
        </w:drawing>
      </w:r>
      <w:r w:rsidR="00394AD2" w:rsidRPr="0012734D">
        <w:rPr>
          <w:sz w:val="22"/>
          <w:szCs w:val="22"/>
        </w:rPr>
        <w:t>The charger is to be fitted within the inner courtyard, not viewable from the road, see below</w:t>
      </w:r>
      <w:r w:rsidR="00394AD2">
        <w:t xml:space="preserve">. </w:t>
      </w:r>
    </w:p>
    <w:p w14:paraId="178DE5F5" w14:textId="14CB5A68" w:rsidR="002E1CA9" w:rsidRDefault="002E1CA9" w:rsidP="00146A99"/>
    <w:p w14:paraId="58D71423" w14:textId="77777777" w:rsidR="0012734D" w:rsidRDefault="0012734D" w:rsidP="00146A99"/>
    <w:p w14:paraId="01B6E909" w14:textId="5571E170" w:rsidR="00394AD2" w:rsidRPr="0012734D" w:rsidRDefault="0002404A" w:rsidP="00146A99">
      <w:pPr>
        <w:rPr>
          <w:sz w:val="22"/>
          <w:szCs w:val="22"/>
        </w:rPr>
      </w:pPr>
      <w:r w:rsidRPr="0012734D">
        <w:rPr>
          <w:sz w:val="22"/>
          <w:szCs w:val="22"/>
        </w:rPr>
        <w:t xml:space="preserve">The choice of charger an Anderson EV A3, has been specifically chosen to minimise the impact to the external appearance of the property. It allows for the connector and cable to be stored inside the charger when it is not in use. In </w:t>
      </w:r>
      <w:r w:rsidR="00394AD2" w:rsidRPr="0012734D">
        <w:rPr>
          <w:sz w:val="22"/>
          <w:szCs w:val="22"/>
        </w:rPr>
        <w:t>addition,</w:t>
      </w:r>
      <w:r w:rsidRPr="0012734D">
        <w:rPr>
          <w:sz w:val="22"/>
          <w:szCs w:val="22"/>
        </w:rPr>
        <w:t xml:space="preserve"> the external panels of the charger can be </w:t>
      </w:r>
      <w:r w:rsidR="00394AD2" w:rsidRPr="0012734D">
        <w:rPr>
          <w:sz w:val="22"/>
          <w:szCs w:val="22"/>
        </w:rPr>
        <w:t xml:space="preserve">purchased in different colours. The proposed colour for the body and external panel is </w:t>
      </w:r>
      <w:r w:rsidR="005E0C16">
        <w:rPr>
          <w:sz w:val="22"/>
          <w:szCs w:val="22"/>
        </w:rPr>
        <w:t>Hampton</w:t>
      </w:r>
      <w:r w:rsidR="00394AD2" w:rsidRPr="0012734D">
        <w:rPr>
          <w:sz w:val="22"/>
          <w:szCs w:val="22"/>
        </w:rPr>
        <w:t xml:space="preserve"> Stone as below. </w:t>
      </w:r>
    </w:p>
    <w:p w14:paraId="53071335" w14:textId="1554330C" w:rsidR="00394AD2" w:rsidRPr="001659EE" w:rsidRDefault="005E0C16" w:rsidP="0012734D">
      <w:pPr>
        <w:jc w:val="center"/>
        <w:rPr>
          <w:color w:val="FF0000"/>
        </w:rPr>
      </w:pPr>
      <w:r>
        <w:rPr>
          <w:noProof/>
        </w:rPr>
        <w:lastRenderedPageBreak/>
        <w:drawing>
          <wp:inline distT="0" distB="0" distL="0" distR="0" wp14:anchorId="5A36FE71" wp14:editId="0ACC1FE7">
            <wp:extent cx="2486025" cy="3390900"/>
            <wp:effectExtent l="0" t="0" r="9525" b="0"/>
            <wp:docPr id="1345599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99134" name=""/>
                    <pic:cNvPicPr/>
                  </pic:nvPicPr>
                  <pic:blipFill>
                    <a:blip r:embed="rId6"/>
                    <a:stretch>
                      <a:fillRect/>
                    </a:stretch>
                  </pic:blipFill>
                  <pic:spPr>
                    <a:xfrm>
                      <a:off x="0" y="0"/>
                      <a:ext cx="2486025" cy="3390900"/>
                    </a:xfrm>
                    <a:prstGeom prst="rect">
                      <a:avLst/>
                    </a:prstGeom>
                  </pic:spPr>
                </pic:pic>
              </a:graphicData>
            </a:graphic>
          </wp:inline>
        </w:drawing>
      </w:r>
    </w:p>
    <w:p w14:paraId="39395BD2" w14:textId="3256DD24" w:rsidR="00394AD2" w:rsidRPr="0072100D" w:rsidRDefault="00394AD2" w:rsidP="00146A99">
      <w:pPr>
        <w:rPr>
          <w:sz w:val="22"/>
          <w:szCs w:val="22"/>
        </w:rPr>
      </w:pPr>
      <w:r w:rsidRPr="0072100D">
        <w:rPr>
          <w:sz w:val="22"/>
          <w:szCs w:val="22"/>
        </w:rPr>
        <w:t>Further, the proposed wiring is to run internally to the building reducing the impact on the external appearance.</w:t>
      </w:r>
    </w:p>
    <w:p w14:paraId="3B80C65F" w14:textId="52CD6229" w:rsidR="00BD282F" w:rsidRPr="0072100D" w:rsidRDefault="0072100D" w:rsidP="00146A99">
      <w:pPr>
        <w:rPr>
          <w:sz w:val="22"/>
          <w:szCs w:val="22"/>
        </w:rPr>
      </w:pPr>
      <w:r>
        <w:rPr>
          <w:sz w:val="22"/>
          <w:szCs w:val="22"/>
        </w:rPr>
        <w:t>T</w:t>
      </w:r>
      <w:r w:rsidR="00394AD2" w:rsidRPr="0072100D">
        <w:rPr>
          <w:sz w:val="22"/>
          <w:szCs w:val="22"/>
        </w:rPr>
        <w:t xml:space="preserve">here is clearly a balance to be reached in reducing carbon emissions both personally and across the borough itself whilst maintain historical buildings. I believe </w:t>
      </w:r>
      <w:r w:rsidR="00BD282F" w:rsidRPr="0072100D">
        <w:rPr>
          <w:sz w:val="22"/>
          <w:szCs w:val="22"/>
        </w:rPr>
        <w:t xml:space="preserve">my proposals </w:t>
      </w:r>
      <w:r w:rsidR="00394AD2" w:rsidRPr="0072100D">
        <w:rPr>
          <w:sz w:val="22"/>
          <w:szCs w:val="22"/>
        </w:rPr>
        <w:t>reach</w:t>
      </w:r>
      <w:r w:rsidR="00BD282F" w:rsidRPr="0072100D">
        <w:rPr>
          <w:sz w:val="22"/>
          <w:szCs w:val="22"/>
        </w:rPr>
        <w:t xml:space="preserve"> that </w:t>
      </w:r>
      <w:r w:rsidR="0012734D" w:rsidRPr="0072100D">
        <w:rPr>
          <w:sz w:val="22"/>
          <w:szCs w:val="22"/>
        </w:rPr>
        <w:t>balance,</w:t>
      </w:r>
      <w:r w:rsidR="00BD282F" w:rsidRPr="0072100D">
        <w:rPr>
          <w:sz w:val="22"/>
          <w:szCs w:val="22"/>
        </w:rPr>
        <w:t xml:space="preserve"> but I am keen to work with the conservation office over any other concerns you may have. </w:t>
      </w:r>
    </w:p>
    <w:p w14:paraId="7BCCB5E4" w14:textId="132143F2" w:rsidR="00BD282F" w:rsidRPr="0072100D" w:rsidRDefault="00BD282F" w:rsidP="00146A99">
      <w:pPr>
        <w:rPr>
          <w:sz w:val="22"/>
          <w:szCs w:val="22"/>
        </w:rPr>
      </w:pPr>
      <w:r w:rsidRPr="0072100D">
        <w:rPr>
          <w:sz w:val="22"/>
          <w:szCs w:val="22"/>
        </w:rPr>
        <w:t xml:space="preserve">Many Thanks </w:t>
      </w:r>
    </w:p>
    <w:p w14:paraId="528893F6" w14:textId="77777777" w:rsidR="00BD282F" w:rsidRPr="0072100D" w:rsidRDefault="00BD282F" w:rsidP="00146A99">
      <w:pPr>
        <w:rPr>
          <w:sz w:val="22"/>
          <w:szCs w:val="22"/>
        </w:rPr>
      </w:pPr>
    </w:p>
    <w:p w14:paraId="2FED7C70" w14:textId="7CD45396" w:rsidR="00BD282F" w:rsidRPr="0072100D" w:rsidRDefault="00BD282F" w:rsidP="00146A99">
      <w:pPr>
        <w:rPr>
          <w:sz w:val="22"/>
          <w:szCs w:val="22"/>
        </w:rPr>
      </w:pPr>
      <w:r w:rsidRPr="0072100D">
        <w:rPr>
          <w:sz w:val="22"/>
          <w:szCs w:val="22"/>
        </w:rPr>
        <w:t>Jonathan Greaves</w:t>
      </w:r>
    </w:p>
    <w:p w14:paraId="400C8016" w14:textId="77777777" w:rsidR="00394AD2" w:rsidRPr="001659EE" w:rsidRDefault="00394AD2" w:rsidP="00146A99">
      <w:pPr>
        <w:rPr>
          <w:color w:val="FF0000"/>
        </w:rPr>
      </w:pPr>
    </w:p>
    <w:p w14:paraId="5990D148" w14:textId="77777777" w:rsidR="00394AD2" w:rsidRPr="001659EE" w:rsidRDefault="00394AD2" w:rsidP="00146A99">
      <w:pPr>
        <w:rPr>
          <w:color w:val="FF0000"/>
        </w:rPr>
      </w:pPr>
    </w:p>
    <w:p w14:paraId="24DC0BB1" w14:textId="77777777" w:rsidR="00394AD2" w:rsidRPr="001659EE" w:rsidRDefault="00394AD2" w:rsidP="00146A99">
      <w:pPr>
        <w:rPr>
          <w:color w:val="FF0000"/>
        </w:rPr>
      </w:pPr>
    </w:p>
    <w:p w14:paraId="6A195E88" w14:textId="77777777" w:rsidR="00394AD2" w:rsidRPr="001659EE" w:rsidRDefault="00394AD2" w:rsidP="00146A99">
      <w:pPr>
        <w:rPr>
          <w:color w:val="FF0000"/>
        </w:rPr>
      </w:pPr>
    </w:p>
    <w:p w14:paraId="14C49FCE" w14:textId="77777777" w:rsidR="00394AD2" w:rsidRDefault="00394AD2" w:rsidP="00146A99"/>
    <w:p w14:paraId="4DFE5A59" w14:textId="77777777" w:rsidR="00394AD2" w:rsidRDefault="00394AD2" w:rsidP="00146A99"/>
    <w:p w14:paraId="0105F8D3" w14:textId="77777777" w:rsidR="00394AD2" w:rsidRDefault="00394AD2" w:rsidP="00146A99"/>
    <w:p w14:paraId="4B2DD086" w14:textId="77777777" w:rsidR="00394AD2" w:rsidRDefault="00394AD2" w:rsidP="00146A99"/>
    <w:p w14:paraId="64BC916C" w14:textId="77777777" w:rsidR="00394AD2" w:rsidRDefault="00394AD2" w:rsidP="00146A99"/>
    <w:p w14:paraId="47456C70" w14:textId="77777777" w:rsidR="00394AD2" w:rsidRPr="0002404A" w:rsidRDefault="00394AD2" w:rsidP="00146A99"/>
    <w:p w14:paraId="3C7C0276" w14:textId="77777777" w:rsidR="00146A99" w:rsidRDefault="00146A99" w:rsidP="00146A99"/>
    <w:sectPr w:rsidR="00146A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A99"/>
    <w:rsid w:val="0002404A"/>
    <w:rsid w:val="0012734D"/>
    <w:rsid w:val="00146A99"/>
    <w:rsid w:val="001659EE"/>
    <w:rsid w:val="002E1CA9"/>
    <w:rsid w:val="00394AD2"/>
    <w:rsid w:val="005E0C16"/>
    <w:rsid w:val="006E0C22"/>
    <w:rsid w:val="0072100D"/>
    <w:rsid w:val="00B45AA7"/>
    <w:rsid w:val="00BD282F"/>
    <w:rsid w:val="00E16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6419C"/>
  <w15:chartTrackingRefBased/>
  <w15:docId w15:val="{BBD452ED-1753-41F2-8CA2-54885AF4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A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6A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6A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6A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6A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6A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6A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6A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6A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A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6A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6A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6A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6A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6A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6A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6A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6A99"/>
    <w:rPr>
      <w:rFonts w:eastAsiaTheme="majorEastAsia" w:cstheme="majorBidi"/>
      <w:color w:val="272727" w:themeColor="text1" w:themeTint="D8"/>
    </w:rPr>
  </w:style>
  <w:style w:type="paragraph" w:styleId="Title">
    <w:name w:val="Title"/>
    <w:basedOn w:val="Normal"/>
    <w:next w:val="Normal"/>
    <w:link w:val="TitleChar"/>
    <w:uiPriority w:val="10"/>
    <w:qFormat/>
    <w:rsid w:val="00146A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A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6A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6A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6A99"/>
    <w:pPr>
      <w:spacing w:before="160"/>
      <w:jc w:val="center"/>
    </w:pPr>
    <w:rPr>
      <w:i/>
      <w:iCs/>
      <w:color w:val="404040" w:themeColor="text1" w:themeTint="BF"/>
    </w:rPr>
  </w:style>
  <w:style w:type="character" w:customStyle="1" w:styleId="QuoteChar">
    <w:name w:val="Quote Char"/>
    <w:basedOn w:val="DefaultParagraphFont"/>
    <w:link w:val="Quote"/>
    <w:uiPriority w:val="29"/>
    <w:rsid w:val="00146A99"/>
    <w:rPr>
      <w:i/>
      <w:iCs/>
      <w:color w:val="404040" w:themeColor="text1" w:themeTint="BF"/>
    </w:rPr>
  </w:style>
  <w:style w:type="paragraph" w:styleId="ListParagraph">
    <w:name w:val="List Paragraph"/>
    <w:basedOn w:val="Normal"/>
    <w:uiPriority w:val="34"/>
    <w:qFormat/>
    <w:rsid w:val="00146A99"/>
    <w:pPr>
      <w:ind w:left="720"/>
      <w:contextualSpacing/>
    </w:pPr>
  </w:style>
  <w:style w:type="character" w:styleId="IntenseEmphasis">
    <w:name w:val="Intense Emphasis"/>
    <w:basedOn w:val="DefaultParagraphFont"/>
    <w:uiPriority w:val="21"/>
    <w:qFormat/>
    <w:rsid w:val="00146A99"/>
    <w:rPr>
      <w:i/>
      <w:iCs/>
      <w:color w:val="0F4761" w:themeColor="accent1" w:themeShade="BF"/>
    </w:rPr>
  </w:style>
  <w:style w:type="paragraph" w:styleId="IntenseQuote">
    <w:name w:val="Intense Quote"/>
    <w:basedOn w:val="Normal"/>
    <w:next w:val="Normal"/>
    <w:link w:val="IntenseQuoteChar"/>
    <w:uiPriority w:val="30"/>
    <w:qFormat/>
    <w:rsid w:val="00146A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6A99"/>
    <w:rPr>
      <w:i/>
      <w:iCs/>
      <w:color w:val="0F4761" w:themeColor="accent1" w:themeShade="BF"/>
    </w:rPr>
  </w:style>
  <w:style w:type="character" w:styleId="IntenseReference">
    <w:name w:val="Intense Reference"/>
    <w:basedOn w:val="DefaultParagraphFont"/>
    <w:uiPriority w:val="32"/>
    <w:qFormat/>
    <w:rsid w:val="00146A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3.xml"/><Relationship Id="rId5" Type="http://schemas.openxmlformats.org/officeDocument/2006/relationships/image" Target="media/image2.png"/><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246F5A7D-C038-4172-956B-E26A73A5C216}"/>
</file>

<file path=customXml/itemProps2.xml><?xml version="1.0" encoding="utf-8"?>
<ds:datastoreItem xmlns:ds="http://schemas.openxmlformats.org/officeDocument/2006/customXml" ds:itemID="{FA16430C-4AED-4DFD-B12E-67801B2E7469}"/>
</file>

<file path=customXml/itemProps3.xml><?xml version="1.0" encoding="utf-8"?>
<ds:datastoreItem xmlns:ds="http://schemas.openxmlformats.org/officeDocument/2006/customXml" ds:itemID="{B63399EB-2986-44E8-8133-D60F00C60A3D}"/>
</file>

<file path=docProps/app.xml><?xml version="1.0" encoding="utf-8"?>
<Properties xmlns="http://schemas.openxmlformats.org/officeDocument/2006/extended-properties" xmlns:vt="http://schemas.openxmlformats.org/officeDocument/2006/docPropsVTypes">
  <Template>Normal</Template>
  <TotalTime>966</TotalTime>
  <Pages>4</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 Yorkshire Police</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Greaves</dc:creator>
  <cp:keywords/>
  <dc:description/>
  <cp:lastModifiedBy>Jonathan Greaves</cp:lastModifiedBy>
  <cp:revision>2</cp:revision>
  <dcterms:created xsi:type="dcterms:W3CDTF">2025-07-14T15:04:00Z</dcterms:created>
  <dcterms:modified xsi:type="dcterms:W3CDTF">2025-07-15T15:01:00Z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2025-07-15T07:03:40Z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b217b814-bf20-44a4-8db2-119ff1ce89f9</vt:lpwstr>
  </property>
  <property fmtid="{D5CDD505-2E9C-101B-9397-08002B2CF9AE}" pid="8" name="MSIP_Label_f529d828-a824-4b78-ab24-eaae5922aa38_ContentBits">
    <vt:lpwstr>0</vt:lpwstr>
  </property>
  <property fmtid="{D5CDD505-2E9C-101B-9397-08002B2CF9AE}" pid="9" name="ContentTypeId">
    <vt:lpwstr>0x01010084F35F844C555749A4A584284E5541DC</vt:lpwstr>
  </property>
  <property fmtid="{D5CDD505-2E9C-101B-9397-08002B2CF9AE}" pid="10" name="MediaServiceImageTags">
    <vt:lpwstr/>
  </property>
</Properties>
</file>