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5F437" w14:textId="77777777" w:rsidR="00215DB9" w:rsidRDefault="00071201">
      <w:pPr>
        <w:jc w:val="center"/>
      </w:pPr>
      <w:r>
        <w:rPr>
          <w:b/>
          <w:sz w:val="44"/>
        </w:rPr>
        <w:t>ENERGY AND SUSTAINABILITY STATEMENT</w:t>
      </w:r>
    </w:p>
    <w:p w14:paraId="4876DA77" w14:textId="77777777" w:rsidR="00215DB9" w:rsidRDefault="00071201">
      <w:pPr>
        <w:jc w:val="center"/>
      </w:pPr>
      <w:r>
        <w:rPr>
          <w:b/>
          <w:sz w:val="30"/>
        </w:rPr>
        <w:t>Including Planning-Stage Whole Life Carbon Assessment</w:t>
      </w:r>
    </w:p>
    <w:p w14:paraId="12A7E412" w14:textId="77777777" w:rsidR="00215DB9" w:rsidRDefault="00215DB9"/>
    <w:tbl>
      <w:tblPr>
        <w:tblStyle w:val="TableGrid"/>
        <w:tblW w:w="0" w:type="auto"/>
        <w:jc w:val="center"/>
        <w:tblLook w:val="04A0" w:firstRow="1" w:lastRow="0" w:firstColumn="1" w:lastColumn="0" w:noHBand="0" w:noVBand="1"/>
      </w:tblPr>
      <w:tblGrid>
        <w:gridCol w:w="5112"/>
        <w:gridCol w:w="5112"/>
      </w:tblGrid>
      <w:tr w:rsidR="00215DB9" w14:paraId="390D3910" w14:textId="77777777">
        <w:trPr>
          <w:cantSplit/>
          <w:jc w:val="center"/>
        </w:trPr>
        <w:tc>
          <w:tcPr>
            <w:tcW w:w="5112" w:type="dxa"/>
            <w:shd w:val="clear" w:color="auto" w:fill="D9EAF7"/>
          </w:tcPr>
          <w:p w14:paraId="4DE53C0A" w14:textId="77777777" w:rsidR="00215DB9" w:rsidRDefault="00071201">
            <w:r>
              <w:rPr>
                <w:b/>
                <w:sz w:val="17"/>
              </w:rPr>
              <w:t>Project</w:t>
            </w:r>
          </w:p>
        </w:tc>
        <w:tc>
          <w:tcPr>
            <w:tcW w:w="5112" w:type="dxa"/>
          </w:tcPr>
          <w:p w14:paraId="6E3D19A1" w14:textId="77777777" w:rsidR="00215DB9" w:rsidRDefault="00071201">
            <w:r>
              <w:rPr>
                <w:sz w:val="17"/>
              </w:rPr>
              <w:t>Proposed Residential Development, Sheffield Road, Birdwell, Barnsley (Site HS67)</w:t>
            </w:r>
          </w:p>
        </w:tc>
      </w:tr>
      <w:tr w:rsidR="00215DB9" w14:paraId="66AEA92E" w14:textId="77777777">
        <w:trPr>
          <w:cantSplit/>
          <w:jc w:val="center"/>
        </w:trPr>
        <w:tc>
          <w:tcPr>
            <w:tcW w:w="5112" w:type="dxa"/>
            <w:shd w:val="clear" w:color="auto" w:fill="D9EAF7"/>
          </w:tcPr>
          <w:p w14:paraId="4B52F327" w14:textId="77777777" w:rsidR="00215DB9" w:rsidRDefault="00071201">
            <w:r>
              <w:rPr>
                <w:b/>
                <w:sz w:val="17"/>
              </w:rPr>
              <w:t>Client</w:t>
            </w:r>
          </w:p>
        </w:tc>
        <w:tc>
          <w:tcPr>
            <w:tcW w:w="5112" w:type="dxa"/>
          </w:tcPr>
          <w:p w14:paraId="4846FEED" w14:textId="77777777" w:rsidR="00215DB9" w:rsidRDefault="00071201">
            <w:r>
              <w:rPr>
                <w:sz w:val="17"/>
              </w:rPr>
              <w:t>Gates Homes</w:t>
            </w:r>
          </w:p>
        </w:tc>
      </w:tr>
      <w:tr w:rsidR="00215DB9" w14:paraId="0D57DD7C" w14:textId="77777777">
        <w:trPr>
          <w:cantSplit/>
          <w:jc w:val="center"/>
        </w:trPr>
        <w:tc>
          <w:tcPr>
            <w:tcW w:w="5112" w:type="dxa"/>
            <w:shd w:val="clear" w:color="auto" w:fill="D9EAF7"/>
          </w:tcPr>
          <w:p w14:paraId="559D36CE" w14:textId="77777777" w:rsidR="00215DB9" w:rsidRDefault="00071201">
            <w:r>
              <w:rPr>
                <w:b/>
                <w:sz w:val="17"/>
              </w:rPr>
              <w:t>Prepared by</w:t>
            </w:r>
          </w:p>
        </w:tc>
        <w:tc>
          <w:tcPr>
            <w:tcW w:w="5112" w:type="dxa"/>
          </w:tcPr>
          <w:p w14:paraId="0B4C68A9" w14:textId="77777777" w:rsidR="00215DB9" w:rsidRDefault="00071201">
            <w:r>
              <w:rPr>
                <w:sz w:val="17"/>
              </w:rPr>
              <w:t>White Agus Ltd</w:t>
            </w:r>
          </w:p>
        </w:tc>
      </w:tr>
      <w:tr w:rsidR="00215DB9" w14:paraId="2B70957F" w14:textId="77777777">
        <w:trPr>
          <w:cantSplit/>
          <w:jc w:val="center"/>
        </w:trPr>
        <w:tc>
          <w:tcPr>
            <w:tcW w:w="5112" w:type="dxa"/>
            <w:shd w:val="clear" w:color="auto" w:fill="D9EAF7"/>
          </w:tcPr>
          <w:p w14:paraId="7ED89976" w14:textId="77777777" w:rsidR="00215DB9" w:rsidRDefault="00071201">
            <w:r>
              <w:rPr>
                <w:b/>
                <w:sz w:val="17"/>
              </w:rPr>
              <w:t>Date</w:t>
            </w:r>
          </w:p>
        </w:tc>
        <w:tc>
          <w:tcPr>
            <w:tcW w:w="5112" w:type="dxa"/>
          </w:tcPr>
          <w:p w14:paraId="568445A4" w14:textId="77777777" w:rsidR="00215DB9" w:rsidRDefault="00071201">
            <w:r>
              <w:rPr>
                <w:sz w:val="17"/>
              </w:rPr>
              <w:t>June 2026</w:t>
            </w:r>
          </w:p>
        </w:tc>
      </w:tr>
      <w:tr w:rsidR="00215DB9" w14:paraId="4024CA24" w14:textId="77777777">
        <w:trPr>
          <w:cantSplit/>
          <w:jc w:val="center"/>
        </w:trPr>
        <w:tc>
          <w:tcPr>
            <w:tcW w:w="5112" w:type="dxa"/>
            <w:shd w:val="clear" w:color="auto" w:fill="D9EAF7"/>
          </w:tcPr>
          <w:p w14:paraId="1923F8B7" w14:textId="77777777" w:rsidR="00215DB9" w:rsidRDefault="00071201">
            <w:r>
              <w:rPr>
                <w:b/>
                <w:sz w:val="17"/>
              </w:rPr>
              <w:t>Status</w:t>
            </w:r>
          </w:p>
        </w:tc>
        <w:tc>
          <w:tcPr>
            <w:tcW w:w="5112" w:type="dxa"/>
          </w:tcPr>
          <w:p w14:paraId="14093436" w14:textId="0BACE512" w:rsidR="00215DB9" w:rsidRDefault="00071201">
            <w:r>
              <w:rPr>
                <w:sz w:val="17"/>
              </w:rPr>
              <w:t xml:space="preserve"> for Planning Validation</w:t>
            </w:r>
          </w:p>
        </w:tc>
      </w:tr>
    </w:tbl>
    <w:p w14:paraId="5E6BAEB4" w14:textId="77777777" w:rsidR="00215DB9" w:rsidRDefault="00071201">
      <w:r>
        <w:br w:type="page"/>
      </w:r>
    </w:p>
    <w:p w14:paraId="641A113F" w14:textId="77777777" w:rsidR="00215DB9" w:rsidRDefault="00071201">
      <w:pPr>
        <w:pStyle w:val="Heading1"/>
      </w:pPr>
      <w:r>
        <w:lastRenderedPageBreak/>
        <w:t>1. Introduction</w:t>
      </w:r>
    </w:p>
    <w:p w14:paraId="57148044" w14:textId="77777777" w:rsidR="00215DB9" w:rsidRDefault="00071201">
      <w:r>
        <w:t>This Energy and Sustainability Statement, including a planning-stage Whole Life Carbon Assessment, has been prepared to support the full planning application for 10 dwellings on land at Sheffield Road, Birdwell, Barnsley, Site HS67.</w:t>
      </w:r>
    </w:p>
    <w:p w14:paraId="48899D80" w14:textId="77777777" w:rsidR="00215DB9" w:rsidRDefault="00071201">
      <w:r>
        <w:t>The statement explains how the proposal responds to climate change, sustainable construction, energy efficiency, renewable/low-carbon technology, water management, waste and whole life carbon considerations. It should be read alongside the Design and Access Statement, National Design Guide Assessment, site plan, house type drawings, drainage information and other technical reports.</w:t>
      </w:r>
    </w:p>
    <w:p w14:paraId="626C0772" w14:textId="77777777" w:rsidR="00215DB9" w:rsidRDefault="00071201">
      <w:pPr>
        <w:pStyle w:val="Heading1"/>
      </w:pPr>
      <w:r>
        <w:t>2. Proposal and floor area basis</w:t>
      </w:r>
    </w:p>
    <w:p w14:paraId="65669959" w14:textId="77777777" w:rsidR="00215DB9" w:rsidRDefault="00071201">
      <w:r>
        <w:t>The development comprises 10 family dwellings arranged around a central internal access road. For the purpose of this planning-stage carbon assessment, the following gross internal floor areas have been taken from the submitted house type drawings:</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215DB9" w14:paraId="2C9248B2" w14:textId="77777777">
        <w:trPr>
          <w:cantSplit/>
          <w:tblHeader/>
          <w:jc w:val="center"/>
        </w:trPr>
        <w:tc>
          <w:tcPr>
            <w:tcW w:w="2045" w:type="dxa"/>
            <w:shd w:val="clear" w:color="auto" w:fill="D9EAF7"/>
          </w:tcPr>
          <w:p w14:paraId="2C15CB9E" w14:textId="77777777" w:rsidR="00215DB9" w:rsidRDefault="00071201">
            <w:r>
              <w:rPr>
                <w:b/>
                <w:sz w:val="17"/>
              </w:rPr>
              <w:t>House type / plots</w:t>
            </w:r>
          </w:p>
        </w:tc>
        <w:tc>
          <w:tcPr>
            <w:tcW w:w="2045" w:type="dxa"/>
            <w:shd w:val="clear" w:color="auto" w:fill="D9EAF7"/>
          </w:tcPr>
          <w:p w14:paraId="5B312F88" w14:textId="77777777" w:rsidR="00215DB9" w:rsidRDefault="00071201">
            <w:r>
              <w:rPr>
                <w:b/>
                <w:sz w:val="17"/>
              </w:rPr>
              <w:t>No. of dwellings</w:t>
            </w:r>
          </w:p>
        </w:tc>
        <w:tc>
          <w:tcPr>
            <w:tcW w:w="2045" w:type="dxa"/>
            <w:shd w:val="clear" w:color="auto" w:fill="D9EAF7"/>
          </w:tcPr>
          <w:p w14:paraId="08F96B05" w14:textId="77777777" w:rsidR="00215DB9" w:rsidRDefault="00071201">
            <w:r>
              <w:rPr>
                <w:b/>
                <w:sz w:val="17"/>
              </w:rPr>
              <w:t>Area per dwelling</w:t>
            </w:r>
          </w:p>
        </w:tc>
        <w:tc>
          <w:tcPr>
            <w:tcW w:w="2045" w:type="dxa"/>
            <w:shd w:val="clear" w:color="auto" w:fill="D9EAF7"/>
          </w:tcPr>
          <w:p w14:paraId="638B66E5" w14:textId="77777777" w:rsidR="00215DB9" w:rsidRDefault="00071201">
            <w:r>
              <w:rPr>
                <w:b/>
                <w:sz w:val="17"/>
              </w:rPr>
              <w:t>Subtotal GIA</w:t>
            </w:r>
          </w:p>
        </w:tc>
        <w:tc>
          <w:tcPr>
            <w:tcW w:w="2045" w:type="dxa"/>
            <w:shd w:val="clear" w:color="auto" w:fill="D9EAF7"/>
          </w:tcPr>
          <w:p w14:paraId="75F7555A" w14:textId="77777777" w:rsidR="00215DB9" w:rsidRDefault="00071201">
            <w:r>
              <w:rPr>
                <w:b/>
                <w:sz w:val="17"/>
              </w:rPr>
              <w:t>Notes</w:t>
            </w:r>
          </w:p>
        </w:tc>
      </w:tr>
      <w:tr w:rsidR="00215DB9" w14:paraId="239F3337" w14:textId="77777777">
        <w:trPr>
          <w:cantSplit/>
          <w:jc w:val="center"/>
        </w:trPr>
        <w:tc>
          <w:tcPr>
            <w:tcW w:w="2045" w:type="dxa"/>
          </w:tcPr>
          <w:p w14:paraId="02FB96D4" w14:textId="77777777" w:rsidR="00215DB9" w:rsidRDefault="00071201">
            <w:r>
              <w:rPr>
                <w:b/>
                <w:sz w:val="17"/>
              </w:rPr>
              <w:t>Plots 1-3</w:t>
            </w:r>
          </w:p>
        </w:tc>
        <w:tc>
          <w:tcPr>
            <w:tcW w:w="2045" w:type="dxa"/>
          </w:tcPr>
          <w:p w14:paraId="08D60568" w14:textId="77777777" w:rsidR="00215DB9" w:rsidRDefault="00071201">
            <w:r>
              <w:rPr>
                <w:sz w:val="17"/>
              </w:rPr>
              <w:t>3</w:t>
            </w:r>
          </w:p>
        </w:tc>
        <w:tc>
          <w:tcPr>
            <w:tcW w:w="2045" w:type="dxa"/>
          </w:tcPr>
          <w:p w14:paraId="159A17B7" w14:textId="77777777" w:rsidR="00215DB9" w:rsidRDefault="00071201">
            <w:r>
              <w:rPr>
                <w:sz w:val="17"/>
              </w:rPr>
              <w:t>144 sq m</w:t>
            </w:r>
          </w:p>
        </w:tc>
        <w:tc>
          <w:tcPr>
            <w:tcW w:w="2045" w:type="dxa"/>
          </w:tcPr>
          <w:p w14:paraId="538C830A" w14:textId="77777777" w:rsidR="00215DB9" w:rsidRDefault="00071201">
            <w:r>
              <w:rPr>
                <w:sz w:val="17"/>
              </w:rPr>
              <w:t>432 sq m</w:t>
            </w:r>
          </w:p>
        </w:tc>
        <w:tc>
          <w:tcPr>
            <w:tcW w:w="2045" w:type="dxa"/>
          </w:tcPr>
          <w:p w14:paraId="508BF0BC" w14:textId="77777777" w:rsidR="00215DB9" w:rsidRDefault="00071201">
            <w:r>
              <w:rPr>
                <w:sz w:val="17"/>
              </w:rPr>
              <w:t>Four-bedroom dwellings</w:t>
            </w:r>
          </w:p>
        </w:tc>
      </w:tr>
      <w:tr w:rsidR="00215DB9" w14:paraId="46617BA4" w14:textId="77777777">
        <w:trPr>
          <w:cantSplit/>
          <w:jc w:val="center"/>
        </w:trPr>
        <w:tc>
          <w:tcPr>
            <w:tcW w:w="2045" w:type="dxa"/>
          </w:tcPr>
          <w:p w14:paraId="2D7C936F" w14:textId="77777777" w:rsidR="00215DB9" w:rsidRDefault="00071201">
            <w:r>
              <w:rPr>
                <w:b/>
                <w:sz w:val="17"/>
              </w:rPr>
              <w:t>Plots 4-7</w:t>
            </w:r>
          </w:p>
        </w:tc>
        <w:tc>
          <w:tcPr>
            <w:tcW w:w="2045" w:type="dxa"/>
          </w:tcPr>
          <w:p w14:paraId="1F30C39F" w14:textId="77777777" w:rsidR="00215DB9" w:rsidRDefault="00071201">
            <w:r>
              <w:rPr>
                <w:sz w:val="17"/>
              </w:rPr>
              <w:t>4</w:t>
            </w:r>
          </w:p>
        </w:tc>
        <w:tc>
          <w:tcPr>
            <w:tcW w:w="2045" w:type="dxa"/>
          </w:tcPr>
          <w:p w14:paraId="2CCD6A61" w14:textId="77777777" w:rsidR="00215DB9" w:rsidRDefault="00071201">
            <w:r>
              <w:rPr>
                <w:sz w:val="17"/>
              </w:rPr>
              <w:t>179 sq m</w:t>
            </w:r>
          </w:p>
        </w:tc>
        <w:tc>
          <w:tcPr>
            <w:tcW w:w="2045" w:type="dxa"/>
          </w:tcPr>
          <w:p w14:paraId="5F76C6E1" w14:textId="77777777" w:rsidR="00215DB9" w:rsidRDefault="00071201">
            <w:r>
              <w:rPr>
                <w:sz w:val="17"/>
              </w:rPr>
              <w:t>716 sq m</w:t>
            </w:r>
          </w:p>
        </w:tc>
        <w:tc>
          <w:tcPr>
            <w:tcW w:w="2045" w:type="dxa"/>
          </w:tcPr>
          <w:p w14:paraId="6AB8960E" w14:textId="77777777" w:rsidR="00215DB9" w:rsidRDefault="00071201">
            <w:r>
              <w:rPr>
                <w:sz w:val="17"/>
              </w:rPr>
              <w:t>Split-level four-bedroom dwellings</w:t>
            </w:r>
          </w:p>
        </w:tc>
      </w:tr>
      <w:tr w:rsidR="00215DB9" w14:paraId="7ECFF579" w14:textId="77777777">
        <w:trPr>
          <w:cantSplit/>
          <w:jc w:val="center"/>
        </w:trPr>
        <w:tc>
          <w:tcPr>
            <w:tcW w:w="2045" w:type="dxa"/>
          </w:tcPr>
          <w:p w14:paraId="24D11347" w14:textId="77777777" w:rsidR="00215DB9" w:rsidRDefault="00071201">
            <w:r>
              <w:rPr>
                <w:b/>
                <w:sz w:val="17"/>
              </w:rPr>
              <w:t>Plots 8-10</w:t>
            </w:r>
          </w:p>
        </w:tc>
        <w:tc>
          <w:tcPr>
            <w:tcW w:w="2045" w:type="dxa"/>
          </w:tcPr>
          <w:p w14:paraId="03DD5653" w14:textId="77777777" w:rsidR="00215DB9" w:rsidRDefault="00071201">
            <w:r>
              <w:rPr>
                <w:sz w:val="17"/>
              </w:rPr>
              <w:t>3</w:t>
            </w:r>
          </w:p>
        </w:tc>
        <w:tc>
          <w:tcPr>
            <w:tcW w:w="2045" w:type="dxa"/>
          </w:tcPr>
          <w:p w14:paraId="5D456539" w14:textId="77777777" w:rsidR="00215DB9" w:rsidRDefault="00071201">
            <w:r>
              <w:rPr>
                <w:sz w:val="17"/>
              </w:rPr>
              <w:t>142 sq m</w:t>
            </w:r>
          </w:p>
        </w:tc>
        <w:tc>
          <w:tcPr>
            <w:tcW w:w="2045" w:type="dxa"/>
          </w:tcPr>
          <w:p w14:paraId="4A4928F4" w14:textId="77777777" w:rsidR="00215DB9" w:rsidRDefault="00071201">
            <w:r>
              <w:rPr>
                <w:sz w:val="17"/>
              </w:rPr>
              <w:t>426 sq m</w:t>
            </w:r>
          </w:p>
        </w:tc>
        <w:tc>
          <w:tcPr>
            <w:tcW w:w="2045" w:type="dxa"/>
          </w:tcPr>
          <w:p w14:paraId="73B4EC08" w14:textId="77777777" w:rsidR="00215DB9" w:rsidRDefault="00071201">
            <w:r>
              <w:rPr>
                <w:sz w:val="17"/>
              </w:rPr>
              <w:t>Four-bedroom dwellings</w:t>
            </w:r>
          </w:p>
        </w:tc>
      </w:tr>
      <w:tr w:rsidR="00215DB9" w14:paraId="4B059A42" w14:textId="77777777">
        <w:trPr>
          <w:cantSplit/>
          <w:jc w:val="center"/>
        </w:trPr>
        <w:tc>
          <w:tcPr>
            <w:tcW w:w="2045" w:type="dxa"/>
            <w:shd w:val="clear" w:color="auto" w:fill="E2F0D9"/>
          </w:tcPr>
          <w:p w14:paraId="0B092BDB" w14:textId="77777777" w:rsidR="00215DB9" w:rsidRDefault="00071201">
            <w:r>
              <w:rPr>
                <w:b/>
                <w:sz w:val="17"/>
              </w:rPr>
              <w:t>Total</w:t>
            </w:r>
          </w:p>
        </w:tc>
        <w:tc>
          <w:tcPr>
            <w:tcW w:w="2045" w:type="dxa"/>
            <w:shd w:val="clear" w:color="auto" w:fill="E2F0D9"/>
          </w:tcPr>
          <w:p w14:paraId="79E41EA3" w14:textId="77777777" w:rsidR="00215DB9" w:rsidRDefault="00071201">
            <w:r>
              <w:rPr>
                <w:b/>
                <w:sz w:val="17"/>
              </w:rPr>
              <w:t>10</w:t>
            </w:r>
          </w:p>
        </w:tc>
        <w:tc>
          <w:tcPr>
            <w:tcW w:w="2045" w:type="dxa"/>
            <w:shd w:val="clear" w:color="auto" w:fill="E2F0D9"/>
          </w:tcPr>
          <w:p w14:paraId="3F784841" w14:textId="77777777" w:rsidR="00215DB9" w:rsidRDefault="00071201">
            <w:r>
              <w:rPr>
                <w:b/>
                <w:sz w:val="17"/>
              </w:rPr>
              <w:t>-</w:t>
            </w:r>
          </w:p>
        </w:tc>
        <w:tc>
          <w:tcPr>
            <w:tcW w:w="2045" w:type="dxa"/>
            <w:shd w:val="clear" w:color="auto" w:fill="E2F0D9"/>
          </w:tcPr>
          <w:p w14:paraId="0478B4F7" w14:textId="77777777" w:rsidR="00215DB9" w:rsidRDefault="00071201">
            <w:r>
              <w:rPr>
                <w:b/>
                <w:sz w:val="17"/>
              </w:rPr>
              <w:t>1,574 sq m</w:t>
            </w:r>
          </w:p>
        </w:tc>
        <w:tc>
          <w:tcPr>
            <w:tcW w:w="2045" w:type="dxa"/>
            <w:shd w:val="clear" w:color="auto" w:fill="E2F0D9"/>
          </w:tcPr>
          <w:p w14:paraId="25C328EC" w14:textId="77777777" w:rsidR="00215DB9" w:rsidRDefault="00071201">
            <w:r>
              <w:rPr>
                <w:b/>
                <w:sz w:val="17"/>
              </w:rPr>
              <w:t>Garages excluded from the main dwelling GIA unless later confirmed otherwise</w:t>
            </w:r>
          </w:p>
        </w:tc>
      </w:tr>
    </w:tbl>
    <w:p w14:paraId="30FBBC7B" w14:textId="77777777" w:rsidR="00215DB9" w:rsidRDefault="00071201">
      <w:pPr>
        <w:pStyle w:val="Heading1"/>
      </w:pPr>
      <w:r>
        <w:t>3. Planning policy and guidance context</w:t>
      </w:r>
    </w:p>
    <w:p w14:paraId="447A80BE" w14:textId="77777777" w:rsidR="00215DB9" w:rsidRDefault="00071201">
      <w:pPr>
        <w:pStyle w:val="ListBullet"/>
      </w:pPr>
      <w:r>
        <w:t>Barnsley Local Plan Policy CC1 seeks to reduce the causes of climate change and adapt to future impacts through sustainable locations, greenhouse gas reduction, flood risk management, SuDS, renewable/low-carbon energy and green infrastructure.</w:t>
      </w:r>
    </w:p>
    <w:p w14:paraId="2AA9CC7F" w14:textId="77777777" w:rsidR="00215DB9" w:rsidRDefault="00071201">
      <w:pPr>
        <w:pStyle w:val="ListBullet"/>
      </w:pPr>
      <w:r>
        <w:t>Policy CC2 expects development to minimise resource and energy consumption through sustainable design and construction features where technically feasible and viable.</w:t>
      </w:r>
    </w:p>
    <w:p w14:paraId="4F16E4F3" w14:textId="77777777" w:rsidR="00215DB9" w:rsidRDefault="00071201">
      <w:pPr>
        <w:pStyle w:val="ListBullet"/>
      </w:pPr>
      <w:r>
        <w:t>Policy RE1 expects developments to incorporate appropriate design measures, followed by decentralised, renewable or low-carbon energy sources to reduce carbon dioxide emissions and achieve Building Regulations carbon compliance targets.</w:t>
      </w:r>
    </w:p>
    <w:p w14:paraId="3C5A1CB0" w14:textId="77777777" w:rsidR="00215DB9" w:rsidRDefault="00071201">
      <w:pPr>
        <w:pStyle w:val="ListBullet"/>
      </w:pPr>
      <w:r>
        <w:t>Barnsley Sustainable Construction and Climate Change Adaptation SPD requires a whole life carbon assessment for major residential development of 10 dwellings or above.</w:t>
      </w:r>
    </w:p>
    <w:p w14:paraId="680B60AE" w14:textId="77777777" w:rsidR="00215DB9" w:rsidRDefault="00071201">
      <w:pPr>
        <w:pStyle w:val="ListBullet"/>
      </w:pPr>
      <w:r>
        <w:t>RICS Whole Life Carbon Assessment for the Built Environment, 2nd edition, provides the current recognised methodology for assessing and reporting carbon across the life cycle of built assets.</w:t>
      </w:r>
    </w:p>
    <w:p w14:paraId="1788DDC3" w14:textId="77777777" w:rsidR="00215DB9" w:rsidRDefault="00071201">
      <w:pPr>
        <w:pStyle w:val="Heading1"/>
      </w:pPr>
      <w:r>
        <w:t>4. Sustainability strategy</w:t>
      </w:r>
    </w:p>
    <w:p w14:paraId="78B0408D" w14:textId="77777777" w:rsidR="00215DB9" w:rsidRDefault="00071201">
      <w:r>
        <w:t>The proposal follows a fabric-first and energy hierarchy approach:</w:t>
      </w:r>
    </w:p>
    <w:p w14:paraId="1CA962B4" w14:textId="77777777" w:rsidR="00215DB9" w:rsidRDefault="00071201">
      <w:pPr>
        <w:pStyle w:val="ListBullet"/>
      </w:pPr>
      <w:r>
        <w:t>Reduce demand through efficient form, insulation, airtightness and glazing performance.</w:t>
      </w:r>
    </w:p>
    <w:p w14:paraId="293C4213" w14:textId="77777777" w:rsidR="00215DB9" w:rsidRDefault="00071201">
      <w:pPr>
        <w:pStyle w:val="ListBullet"/>
      </w:pPr>
      <w:r>
        <w:t>Use efficient building services and controls to minimise regulated energy demand.</w:t>
      </w:r>
    </w:p>
    <w:p w14:paraId="07BF8C9A" w14:textId="77777777" w:rsidR="00215DB9" w:rsidRDefault="00071201">
      <w:pPr>
        <w:pStyle w:val="ListBullet"/>
      </w:pPr>
      <w:r>
        <w:t>Prioritise low-carbon heating, with air source heat pumps or other fossil-fuel-free heating to be reviewed at detailed design/SAP stage.</w:t>
      </w:r>
    </w:p>
    <w:p w14:paraId="5A819E2D" w14:textId="77777777" w:rsidR="00215DB9" w:rsidRDefault="00071201">
      <w:pPr>
        <w:pStyle w:val="ListBullet"/>
      </w:pPr>
      <w:r>
        <w:t>Provide roof zones capable of accommodating solar photovoltaic panels where orientation, roof form and visual impact allow.</w:t>
      </w:r>
    </w:p>
    <w:p w14:paraId="399E00F6" w14:textId="77777777" w:rsidR="00215DB9" w:rsidRDefault="00071201">
      <w:pPr>
        <w:pStyle w:val="ListBullet"/>
      </w:pPr>
      <w:r>
        <w:t>Provide EV charging to each dwelling in accordance with Building Regulations and final electrical design.</w:t>
      </w:r>
    </w:p>
    <w:p w14:paraId="7D97A452" w14:textId="77777777" w:rsidR="00215DB9" w:rsidRDefault="00071201">
      <w:pPr>
        <w:pStyle w:val="ListBullet"/>
      </w:pPr>
      <w:r>
        <w:lastRenderedPageBreak/>
        <w:t>Reduce potable water demand through water-efficient fittings and appliances.</w:t>
      </w:r>
    </w:p>
    <w:p w14:paraId="3D87DE84" w14:textId="77777777" w:rsidR="00215DB9" w:rsidRDefault="00071201">
      <w:pPr>
        <w:pStyle w:val="ListBullet"/>
      </w:pPr>
      <w:r>
        <w:t>Manage surface water through a coordinated drainage/SuDS strategy, including attenuation and infiltration where feasible.</w:t>
      </w:r>
    </w:p>
    <w:p w14:paraId="20704A31" w14:textId="77777777" w:rsidR="00215DB9" w:rsidRDefault="00071201">
      <w:pPr>
        <w:pStyle w:val="ListBullet"/>
      </w:pPr>
      <w:r>
        <w:t>Use durable, repairable and responsibly sourced materials to reduce life-cycle impacts.</w:t>
      </w:r>
    </w:p>
    <w:p w14:paraId="0EDB0448" w14:textId="77777777" w:rsidR="00215DB9" w:rsidRDefault="00071201">
      <w:pPr>
        <w:pStyle w:val="Heading1"/>
      </w:pPr>
      <w:r>
        <w:t>5. Operational energy measures</w:t>
      </w:r>
    </w:p>
    <w:tbl>
      <w:tblPr>
        <w:tblStyle w:val="TableGrid"/>
        <w:tblW w:w="0" w:type="auto"/>
        <w:jc w:val="center"/>
        <w:tblLook w:val="04A0" w:firstRow="1" w:lastRow="0" w:firstColumn="1" w:lastColumn="0" w:noHBand="0" w:noVBand="1"/>
      </w:tblPr>
      <w:tblGrid>
        <w:gridCol w:w="3408"/>
        <w:gridCol w:w="3408"/>
        <w:gridCol w:w="3408"/>
      </w:tblGrid>
      <w:tr w:rsidR="00215DB9" w14:paraId="3DC9F3F3" w14:textId="77777777">
        <w:trPr>
          <w:cantSplit/>
          <w:tblHeader/>
          <w:jc w:val="center"/>
        </w:trPr>
        <w:tc>
          <w:tcPr>
            <w:tcW w:w="3408" w:type="dxa"/>
            <w:shd w:val="clear" w:color="auto" w:fill="D9EAF7"/>
          </w:tcPr>
          <w:p w14:paraId="034006C4" w14:textId="77777777" w:rsidR="00215DB9" w:rsidRDefault="00071201">
            <w:r>
              <w:rPr>
                <w:b/>
                <w:sz w:val="17"/>
              </w:rPr>
              <w:t>Theme</w:t>
            </w:r>
          </w:p>
        </w:tc>
        <w:tc>
          <w:tcPr>
            <w:tcW w:w="3408" w:type="dxa"/>
            <w:shd w:val="clear" w:color="auto" w:fill="D9EAF7"/>
          </w:tcPr>
          <w:p w14:paraId="4A50410E" w14:textId="77777777" w:rsidR="00215DB9" w:rsidRDefault="00071201">
            <w:r>
              <w:rPr>
                <w:b/>
                <w:sz w:val="17"/>
              </w:rPr>
              <w:t>Proposed approach</w:t>
            </w:r>
          </w:p>
        </w:tc>
        <w:tc>
          <w:tcPr>
            <w:tcW w:w="3408" w:type="dxa"/>
            <w:shd w:val="clear" w:color="auto" w:fill="D9EAF7"/>
          </w:tcPr>
          <w:p w14:paraId="03DC843E" w14:textId="77777777" w:rsidR="00215DB9" w:rsidRDefault="00071201">
            <w:r>
              <w:rPr>
                <w:b/>
                <w:sz w:val="17"/>
              </w:rPr>
              <w:t>Planning-stage commitment</w:t>
            </w:r>
          </w:p>
        </w:tc>
      </w:tr>
      <w:tr w:rsidR="00215DB9" w14:paraId="3EE6C04B" w14:textId="77777777">
        <w:trPr>
          <w:cantSplit/>
          <w:jc w:val="center"/>
        </w:trPr>
        <w:tc>
          <w:tcPr>
            <w:tcW w:w="3408" w:type="dxa"/>
          </w:tcPr>
          <w:p w14:paraId="07A07850" w14:textId="77777777" w:rsidR="00215DB9" w:rsidRDefault="00071201">
            <w:r>
              <w:rPr>
                <w:sz w:val="17"/>
              </w:rPr>
              <w:t>Building fabric</w:t>
            </w:r>
          </w:p>
        </w:tc>
        <w:tc>
          <w:tcPr>
            <w:tcW w:w="3408" w:type="dxa"/>
          </w:tcPr>
          <w:p w14:paraId="32345008" w14:textId="77777777" w:rsidR="00215DB9" w:rsidRDefault="00071201">
            <w:r>
              <w:rPr>
                <w:sz w:val="17"/>
              </w:rPr>
              <w:t>External walls, roofs, floors, windows and doors to meet or exceed current Part L requirements.</w:t>
            </w:r>
          </w:p>
        </w:tc>
        <w:tc>
          <w:tcPr>
            <w:tcW w:w="3408" w:type="dxa"/>
          </w:tcPr>
          <w:p w14:paraId="1BEF1AE0" w14:textId="77777777" w:rsidR="00215DB9" w:rsidRDefault="00071201">
            <w:r>
              <w:rPr>
                <w:sz w:val="17"/>
              </w:rPr>
              <w:t>Confirmed at Building Regulations/SAP stage.</w:t>
            </w:r>
          </w:p>
        </w:tc>
      </w:tr>
      <w:tr w:rsidR="00215DB9" w14:paraId="49AB4D2B" w14:textId="77777777">
        <w:trPr>
          <w:cantSplit/>
          <w:jc w:val="center"/>
        </w:trPr>
        <w:tc>
          <w:tcPr>
            <w:tcW w:w="3408" w:type="dxa"/>
          </w:tcPr>
          <w:p w14:paraId="356BCA93" w14:textId="77777777" w:rsidR="00215DB9" w:rsidRDefault="00071201">
            <w:r>
              <w:rPr>
                <w:sz w:val="17"/>
              </w:rPr>
              <w:t>Airtightness</w:t>
            </w:r>
          </w:p>
        </w:tc>
        <w:tc>
          <w:tcPr>
            <w:tcW w:w="3408" w:type="dxa"/>
          </w:tcPr>
          <w:p w14:paraId="03472E44" w14:textId="77777777" w:rsidR="00215DB9" w:rsidRDefault="00071201">
            <w:r>
              <w:rPr>
                <w:sz w:val="17"/>
              </w:rPr>
              <w:t>Good workmanship, sealed service penetrations and continuous air barrier strategy.</w:t>
            </w:r>
          </w:p>
        </w:tc>
        <w:tc>
          <w:tcPr>
            <w:tcW w:w="3408" w:type="dxa"/>
          </w:tcPr>
          <w:p w14:paraId="5CC69768" w14:textId="77777777" w:rsidR="00215DB9" w:rsidRDefault="00071201">
            <w:r>
              <w:rPr>
                <w:sz w:val="17"/>
              </w:rPr>
              <w:t>Target to be confirmed by SAP and air testing requirements.</w:t>
            </w:r>
          </w:p>
        </w:tc>
      </w:tr>
      <w:tr w:rsidR="00215DB9" w14:paraId="1172FC4E" w14:textId="77777777">
        <w:trPr>
          <w:cantSplit/>
          <w:jc w:val="center"/>
        </w:trPr>
        <w:tc>
          <w:tcPr>
            <w:tcW w:w="3408" w:type="dxa"/>
          </w:tcPr>
          <w:p w14:paraId="4BBC5A0A" w14:textId="77777777" w:rsidR="00215DB9" w:rsidRDefault="00071201">
            <w:r>
              <w:rPr>
                <w:sz w:val="17"/>
              </w:rPr>
              <w:t>Heating and hot water</w:t>
            </w:r>
          </w:p>
        </w:tc>
        <w:tc>
          <w:tcPr>
            <w:tcW w:w="3408" w:type="dxa"/>
          </w:tcPr>
          <w:p w14:paraId="13D70F4C" w14:textId="77777777" w:rsidR="00215DB9" w:rsidRDefault="00071201">
            <w:r>
              <w:rPr>
                <w:sz w:val="17"/>
              </w:rPr>
              <w:t>Low-carbon heating to be prioritised, with air source heat pumps to be reviewed against site constraints and householder practicality.</w:t>
            </w:r>
          </w:p>
        </w:tc>
        <w:tc>
          <w:tcPr>
            <w:tcW w:w="3408" w:type="dxa"/>
          </w:tcPr>
          <w:p w14:paraId="3C728C09" w14:textId="77777777" w:rsidR="00215DB9" w:rsidRDefault="00071201">
            <w:r>
              <w:rPr>
                <w:sz w:val="17"/>
              </w:rPr>
              <w:t>Fossil-fuel-free heating to be pursued unless proven unviable.</w:t>
            </w:r>
          </w:p>
        </w:tc>
      </w:tr>
      <w:tr w:rsidR="00215DB9" w14:paraId="3C24D5F1" w14:textId="77777777">
        <w:trPr>
          <w:cantSplit/>
          <w:jc w:val="center"/>
        </w:trPr>
        <w:tc>
          <w:tcPr>
            <w:tcW w:w="3408" w:type="dxa"/>
          </w:tcPr>
          <w:p w14:paraId="0345F74F" w14:textId="77777777" w:rsidR="00215DB9" w:rsidRDefault="00071201">
            <w:r>
              <w:rPr>
                <w:sz w:val="17"/>
              </w:rPr>
              <w:t>Ventilation</w:t>
            </w:r>
          </w:p>
        </w:tc>
        <w:tc>
          <w:tcPr>
            <w:tcW w:w="3408" w:type="dxa"/>
          </w:tcPr>
          <w:p w14:paraId="2E2D434E" w14:textId="77777777" w:rsidR="00215DB9" w:rsidRDefault="00071201">
            <w:r>
              <w:rPr>
                <w:sz w:val="17"/>
              </w:rPr>
              <w:t>Efficient ventilation strategy to satisfy Part F and avoid overheating/condensation.</w:t>
            </w:r>
          </w:p>
        </w:tc>
        <w:tc>
          <w:tcPr>
            <w:tcW w:w="3408" w:type="dxa"/>
          </w:tcPr>
          <w:p w14:paraId="197BC442" w14:textId="77777777" w:rsidR="00215DB9" w:rsidRDefault="00071201">
            <w:r>
              <w:rPr>
                <w:sz w:val="17"/>
              </w:rPr>
              <w:t>Detailed system to be confirmed at technical design stage.</w:t>
            </w:r>
          </w:p>
        </w:tc>
      </w:tr>
      <w:tr w:rsidR="00215DB9" w14:paraId="30B2BBEF" w14:textId="77777777">
        <w:trPr>
          <w:cantSplit/>
          <w:jc w:val="center"/>
        </w:trPr>
        <w:tc>
          <w:tcPr>
            <w:tcW w:w="3408" w:type="dxa"/>
          </w:tcPr>
          <w:p w14:paraId="6C3060B4" w14:textId="77777777" w:rsidR="00215DB9" w:rsidRDefault="00071201">
            <w:r>
              <w:rPr>
                <w:sz w:val="17"/>
              </w:rPr>
              <w:t>Renewables</w:t>
            </w:r>
          </w:p>
        </w:tc>
        <w:tc>
          <w:tcPr>
            <w:tcW w:w="3408" w:type="dxa"/>
          </w:tcPr>
          <w:p w14:paraId="16FAD7A6" w14:textId="77777777" w:rsidR="00215DB9" w:rsidRDefault="00071201">
            <w:r>
              <w:rPr>
                <w:sz w:val="17"/>
              </w:rPr>
              <w:t>Solar PV to be considered on suitable roof slopes, subject to roof orientation, shading, structural design and DNO capacity.</w:t>
            </w:r>
          </w:p>
        </w:tc>
        <w:tc>
          <w:tcPr>
            <w:tcW w:w="3408" w:type="dxa"/>
          </w:tcPr>
          <w:p w14:paraId="302FB154" w14:textId="77777777" w:rsidR="00215DB9" w:rsidRDefault="00071201">
            <w:r>
              <w:rPr>
                <w:sz w:val="17"/>
              </w:rPr>
              <w:t>PV allowance to be reviewed during SAP optimisation.</w:t>
            </w:r>
          </w:p>
        </w:tc>
      </w:tr>
      <w:tr w:rsidR="00215DB9" w14:paraId="2F6086FB" w14:textId="77777777">
        <w:trPr>
          <w:cantSplit/>
          <w:jc w:val="center"/>
        </w:trPr>
        <w:tc>
          <w:tcPr>
            <w:tcW w:w="3408" w:type="dxa"/>
          </w:tcPr>
          <w:p w14:paraId="53E08030" w14:textId="77777777" w:rsidR="00215DB9" w:rsidRDefault="00071201">
            <w:r>
              <w:rPr>
                <w:sz w:val="17"/>
              </w:rPr>
              <w:t>Lighting and appliances</w:t>
            </w:r>
          </w:p>
        </w:tc>
        <w:tc>
          <w:tcPr>
            <w:tcW w:w="3408" w:type="dxa"/>
          </w:tcPr>
          <w:p w14:paraId="66A28C66" w14:textId="77777777" w:rsidR="00215DB9" w:rsidRDefault="00071201">
            <w:r>
              <w:rPr>
                <w:sz w:val="17"/>
              </w:rPr>
              <w:t>Low-energy fixed lighting and efficient controls.</w:t>
            </w:r>
          </w:p>
        </w:tc>
        <w:tc>
          <w:tcPr>
            <w:tcW w:w="3408" w:type="dxa"/>
          </w:tcPr>
          <w:p w14:paraId="04F11287" w14:textId="77777777" w:rsidR="00215DB9" w:rsidRDefault="00071201">
            <w:r>
              <w:rPr>
                <w:sz w:val="17"/>
              </w:rPr>
              <w:t>To be specified at Building Regulations stage.</w:t>
            </w:r>
          </w:p>
        </w:tc>
      </w:tr>
      <w:tr w:rsidR="00215DB9" w14:paraId="68F6947E" w14:textId="77777777">
        <w:trPr>
          <w:cantSplit/>
          <w:jc w:val="center"/>
        </w:trPr>
        <w:tc>
          <w:tcPr>
            <w:tcW w:w="3408" w:type="dxa"/>
          </w:tcPr>
          <w:p w14:paraId="25271F08" w14:textId="77777777" w:rsidR="00215DB9" w:rsidRDefault="00071201">
            <w:r>
              <w:rPr>
                <w:sz w:val="17"/>
              </w:rPr>
              <w:t>EV charging</w:t>
            </w:r>
          </w:p>
        </w:tc>
        <w:tc>
          <w:tcPr>
            <w:tcW w:w="3408" w:type="dxa"/>
          </w:tcPr>
          <w:p w14:paraId="68DE3332" w14:textId="77777777" w:rsidR="00215DB9" w:rsidRDefault="00071201">
            <w:r>
              <w:rPr>
                <w:sz w:val="17"/>
              </w:rPr>
              <w:t>Dwellings to include EV charging provision in line with current Building Regulations.</w:t>
            </w:r>
          </w:p>
        </w:tc>
        <w:tc>
          <w:tcPr>
            <w:tcW w:w="3408" w:type="dxa"/>
          </w:tcPr>
          <w:p w14:paraId="2F5EF555" w14:textId="77777777" w:rsidR="00215DB9" w:rsidRDefault="00071201">
            <w:r>
              <w:rPr>
                <w:sz w:val="17"/>
              </w:rPr>
              <w:t>To be shown on electrical/site services layout.</w:t>
            </w:r>
          </w:p>
        </w:tc>
      </w:tr>
      <w:tr w:rsidR="00215DB9" w14:paraId="7EAD070C" w14:textId="77777777">
        <w:trPr>
          <w:cantSplit/>
          <w:jc w:val="center"/>
        </w:trPr>
        <w:tc>
          <w:tcPr>
            <w:tcW w:w="3408" w:type="dxa"/>
          </w:tcPr>
          <w:p w14:paraId="56ABA513" w14:textId="77777777" w:rsidR="00215DB9" w:rsidRDefault="00071201">
            <w:r>
              <w:rPr>
                <w:sz w:val="17"/>
              </w:rPr>
              <w:t>Overheating and resilience</w:t>
            </w:r>
          </w:p>
        </w:tc>
        <w:tc>
          <w:tcPr>
            <w:tcW w:w="3408" w:type="dxa"/>
          </w:tcPr>
          <w:p w14:paraId="11E8BB0C" w14:textId="77777777" w:rsidR="00215DB9" w:rsidRDefault="00071201">
            <w:r>
              <w:rPr>
                <w:sz w:val="17"/>
              </w:rPr>
              <w:t>Useable opening windows, solar gain review and fabric choices to reduce overheating risk.</w:t>
            </w:r>
          </w:p>
        </w:tc>
        <w:tc>
          <w:tcPr>
            <w:tcW w:w="3408" w:type="dxa"/>
          </w:tcPr>
          <w:p w14:paraId="285C797A" w14:textId="77777777" w:rsidR="00215DB9" w:rsidRDefault="00071201">
            <w:r>
              <w:rPr>
                <w:sz w:val="17"/>
              </w:rPr>
              <w:t>Part O compliance to be demonstrated at Building Regulations stage.</w:t>
            </w:r>
          </w:p>
        </w:tc>
      </w:tr>
    </w:tbl>
    <w:p w14:paraId="4EF44D5F" w14:textId="77777777" w:rsidR="00215DB9" w:rsidRDefault="00071201">
      <w:pPr>
        <w:pStyle w:val="Heading1"/>
      </w:pPr>
      <w:r>
        <w:t>6. Whole Life Carbon Assessment - scope and limitations</w:t>
      </w:r>
    </w:p>
    <w:p w14:paraId="0D4912A7" w14:textId="77777777" w:rsidR="00215DB9" w:rsidRDefault="00071201">
      <w:r>
        <w:t>This is a planning-stage whole life carbon assessment based on the information available at planning submission stage. It is intended to satisfy validation and decision-making requirements by identifying the carbon boundary, likely carbon drivers, reduction measures and the need for refinement at technical design stage.</w:t>
      </w:r>
    </w:p>
    <w:p w14:paraId="475D3BAD" w14:textId="77777777" w:rsidR="00215DB9" w:rsidRDefault="00071201">
      <w:r>
        <w:t>A fully RICS-compliant quantified WLCA would require a more developed bill of quantities/material take-off, structural design, MEP specification, product Environmental Product Declarations, construction methodology, maintenance/replacement assumptions, SAP/energy results and end-of-life assumptions. These details are not normally fixed at planning stage for a small residential scheme and should therefore be updated before technical design/construction.</w:t>
      </w:r>
    </w:p>
    <w:p w14:paraId="5EC73FBA" w14:textId="77777777" w:rsidR="00215DB9" w:rsidRDefault="00071201">
      <w:r>
        <w:t>Assessment boundary used for this statement:</w:t>
      </w:r>
    </w:p>
    <w:p w14:paraId="1CE4A148" w14:textId="77777777" w:rsidR="00215DB9" w:rsidRDefault="00071201">
      <w:pPr>
        <w:pStyle w:val="ListBullet"/>
      </w:pPr>
      <w:r>
        <w:t>A0-A5: pre-construction, product, transport and construction stage carbon.</w:t>
      </w:r>
    </w:p>
    <w:p w14:paraId="0A0C116A" w14:textId="77777777" w:rsidR="00215DB9" w:rsidRDefault="00071201">
      <w:pPr>
        <w:pStyle w:val="ListBullet"/>
      </w:pPr>
      <w:r>
        <w:t>B1-B5: in-use embodied carbon, maintenance, repair, replacement and refurbishment.</w:t>
      </w:r>
    </w:p>
    <w:p w14:paraId="0C04C336" w14:textId="77777777" w:rsidR="00215DB9" w:rsidRDefault="00071201">
      <w:pPr>
        <w:pStyle w:val="ListBullet"/>
      </w:pPr>
      <w:r>
        <w:t>B6-B7: operational energy and operational water carbon, to be quantified once SAP/energy modelling is available.</w:t>
      </w:r>
    </w:p>
    <w:p w14:paraId="2DC1AED5" w14:textId="77777777" w:rsidR="00215DB9" w:rsidRDefault="00071201">
      <w:pPr>
        <w:pStyle w:val="ListBullet"/>
      </w:pPr>
      <w:r>
        <w:t>C1-C4: end-of-life demolition/deconstruction, transport, waste processing and disposal.</w:t>
      </w:r>
    </w:p>
    <w:p w14:paraId="7A5CEE67" w14:textId="77777777" w:rsidR="00215DB9" w:rsidRDefault="00071201">
      <w:pPr>
        <w:pStyle w:val="ListBullet"/>
      </w:pPr>
      <w:r>
        <w:t>Module D: potential benefits and loads beyond the system boundary, reported separately where relevant.</w:t>
      </w:r>
    </w:p>
    <w:p w14:paraId="5A32DB21" w14:textId="77777777" w:rsidR="00215DB9" w:rsidRDefault="00071201">
      <w:pPr>
        <w:pStyle w:val="Heading1"/>
      </w:pPr>
      <w:r>
        <w:lastRenderedPageBreak/>
        <w:t>7. Indicative embodied carbon calculation</w:t>
      </w:r>
    </w:p>
    <w:p w14:paraId="6C0D689D" w14:textId="77777777" w:rsidR="00215DB9" w:rsidRDefault="00071201">
      <w:r>
        <w:t>For planning-stage appraisal only, the assessment applies generic residential carbon intensity assumptions to the 1,574 sq m dwelling GIA. The figures below are not a substitute for a formal RICS WLCA but give the Council a transparent basis for understanding likely carbon scale and reduction measures.</w:t>
      </w:r>
    </w:p>
    <w:tbl>
      <w:tblPr>
        <w:tblStyle w:val="TableGrid"/>
        <w:tblW w:w="0" w:type="auto"/>
        <w:jc w:val="center"/>
        <w:tblLook w:val="04A0" w:firstRow="1" w:lastRow="0" w:firstColumn="1" w:lastColumn="0" w:noHBand="0" w:noVBand="1"/>
      </w:tblPr>
      <w:tblGrid>
        <w:gridCol w:w="2173"/>
        <w:gridCol w:w="2045"/>
        <w:gridCol w:w="2045"/>
        <w:gridCol w:w="2045"/>
        <w:gridCol w:w="2045"/>
      </w:tblGrid>
      <w:tr w:rsidR="00215DB9" w14:paraId="373CF21C" w14:textId="77777777">
        <w:trPr>
          <w:cantSplit/>
          <w:tblHeader/>
          <w:jc w:val="center"/>
        </w:trPr>
        <w:tc>
          <w:tcPr>
            <w:tcW w:w="2045" w:type="dxa"/>
            <w:shd w:val="clear" w:color="auto" w:fill="D9EAF7"/>
          </w:tcPr>
          <w:p w14:paraId="597330E4" w14:textId="77777777" w:rsidR="00215DB9" w:rsidRDefault="00071201">
            <w:r>
              <w:rPr>
                <w:b/>
                <w:sz w:val="17"/>
              </w:rPr>
              <w:t>Life cycle module</w:t>
            </w:r>
          </w:p>
        </w:tc>
        <w:tc>
          <w:tcPr>
            <w:tcW w:w="2045" w:type="dxa"/>
            <w:shd w:val="clear" w:color="auto" w:fill="D9EAF7"/>
          </w:tcPr>
          <w:p w14:paraId="33277D5C" w14:textId="77777777" w:rsidR="00215DB9" w:rsidRDefault="00071201">
            <w:r>
              <w:rPr>
                <w:b/>
                <w:sz w:val="17"/>
              </w:rPr>
              <w:t>Assumed intensity</w:t>
            </w:r>
          </w:p>
        </w:tc>
        <w:tc>
          <w:tcPr>
            <w:tcW w:w="2045" w:type="dxa"/>
            <w:shd w:val="clear" w:color="auto" w:fill="D9EAF7"/>
          </w:tcPr>
          <w:p w14:paraId="0D0106CB" w14:textId="77777777" w:rsidR="00215DB9" w:rsidRDefault="00071201">
            <w:r>
              <w:rPr>
                <w:b/>
                <w:sz w:val="17"/>
              </w:rPr>
              <w:t>Area basis</w:t>
            </w:r>
          </w:p>
        </w:tc>
        <w:tc>
          <w:tcPr>
            <w:tcW w:w="2045" w:type="dxa"/>
            <w:shd w:val="clear" w:color="auto" w:fill="D9EAF7"/>
          </w:tcPr>
          <w:p w14:paraId="7B6E6173" w14:textId="77777777" w:rsidR="00215DB9" w:rsidRDefault="00071201">
            <w:r>
              <w:rPr>
                <w:b/>
                <w:sz w:val="17"/>
              </w:rPr>
              <w:t>Indicative total</w:t>
            </w:r>
          </w:p>
        </w:tc>
        <w:tc>
          <w:tcPr>
            <w:tcW w:w="2045" w:type="dxa"/>
            <w:shd w:val="clear" w:color="auto" w:fill="D9EAF7"/>
          </w:tcPr>
          <w:p w14:paraId="549D7276" w14:textId="77777777" w:rsidR="00215DB9" w:rsidRDefault="00071201">
            <w:r>
              <w:rPr>
                <w:b/>
                <w:sz w:val="17"/>
              </w:rPr>
              <w:t>Comment</w:t>
            </w:r>
          </w:p>
        </w:tc>
      </w:tr>
      <w:tr w:rsidR="00215DB9" w14:paraId="115FAA8F" w14:textId="77777777">
        <w:trPr>
          <w:cantSplit/>
          <w:jc w:val="center"/>
        </w:trPr>
        <w:tc>
          <w:tcPr>
            <w:tcW w:w="2045" w:type="dxa"/>
          </w:tcPr>
          <w:p w14:paraId="3820DC76" w14:textId="77777777" w:rsidR="00215DB9" w:rsidRDefault="00071201">
            <w:r>
              <w:rPr>
                <w:sz w:val="17"/>
              </w:rPr>
              <w:t>A0-A5 Upfront carbon</w:t>
            </w:r>
          </w:p>
        </w:tc>
        <w:tc>
          <w:tcPr>
            <w:tcW w:w="2045" w:type="dxa"/>
          </w:tcPr>
          <w:p w14:paraId="5FB66EDC" w14:textId="77777777" w:rsidR="00215DB9" w:rsidRDefault="00071201">
            <w:r>
              <w:rPr>
                <w:sz w:val="17"/>
              </w:rPr>
              <w:t>650 kgCO2e/sq m</w:t>
            </w:r>
          </w:p>
        </w:tc>
        <w:tc>
          <w:tcPr>
            <w:tcW w:w="2045" w:type="dxa"/>
          </w:tcPr>
          <w:p w14:paraId="74C7DF83" w14:textId="77777777" w:rsidR="00215DB9" w:rsidRDefault="00071201">
            <w:r>
              <w:rPr>
                <w:sz w:val="17"/>
              </w:rPr>
              <w:t>1,574 sq m</w:t>
            </w:r>
          </w:p>
        </w:tc>
        <w:tc>
          <w:tcPr>
            <w:tcW w:w="2045" w:type="dxa"/>
          </w:tcPr>
          <w:p w14:paraId="32D68C84" w14:textId="77777777" w:rsidR="00215DB9" w:rsidRDefault="00071201">
            <w:r>
              <w:rPr>
                <w:sz w:val="17"/>
              </w:rPr>
              <w:t>1,023 tCO2e</w:t>
            </w:r>
          </w:p>
        </w:tc>
        <w:tc>
          <w:tcPr>
            <w:tcW w:w="2045" w:type="dxa"/>
          </w:tcPr>
          <w:p w14:paraId="6BD97B64" w14:textId="77777777" w:rsidR="00215DB9" w:rsidRDefault="00071201">
            <w:r>
              <w:rPr>
                <w:sz w:val="17"/>
              </w:rPr>
              <w:t>Main drivers: foundations, masonry, concrete, steel, roof materials, windows, services and construction waste.</w:t>
            </w:r>
          </w:p>
        </w:tc>
      </w:tr>
      <w:tr w:rsidR="00215DB9" w14:paraId="67F00C68" w14:textId="77777777">
        <w:trPr>
          <w:cantSplit/>
          <w:jc w:val="center"/>
        </w:trPr>
        <w:tc>
          <w:tcPr>
            <w:tcW w:w="2045" w:type="dxa"/>
          </w:tcPr>
          <w:p w14:paraId="1E1EF3E9" w14:textId="77777777" w:rsidR="00215DB9" w:rsidRDefault="00071201">
            <w:r>
              <w:rPr>
                <w:sz w:val="17"/>
              </w:rPr>
              <w:t>B1-B5 Maintenance/replacement</w:t>
            </w:r>
          </w:p>
        </w:tc>
        <w:tc>
          <w:tcPr>
            <w:tcW w:w="2045" w:type="dxa"/>
          </w:tcPr>
          <w:p w14:paraId="248001D2" w14:textId="77777777" w:rsidR="00215DB9" w:rsidRDefault="00071201">
            <w:r>
              <w:rPr>
                <w:sz w:val="17"/>
              </w:rPr>
              <w:t>200 kgCO2e/sq m</w:t>
            </w:r>
          </w:p>
        </w:tc>
        <w:tc>
          <w:tcPr>
            <w:tcW w:w="2045" w:type="dxa"/>
          </w:tcPr>
          <w:p w14:paraId="5DD29666" w14:textId="77777777" w:rsidR="00215DB9" w:rsidRDefault="00071201">
            <w:r>
              <w:rPr>
                <w:sz w:val="17"/>
              </w:rPr>
              <w:t>1,574 sq m</w:t>
            </w:r>
          </w:p>
        </w:tc>
        <w:tc>
          <w:tcPr>
            <w:tcW w:w="2045" w:type="dxa"/>
          </w:tcPr>
          <w:p w14:paraId="72E0C156" w14:textId="77777777" w:rsidR="00215DB9" w:rsidRDefault="00071201">
            <w:r>
              <w:rPr>
                <w:sz w:val="17"/>
              </w:rPr>
              <w:t>315 tCO2e</w:t>
            </w:r>
          </w:p>
        </w:tc>
        <w:tc>
          <w:tcPr>
            <w:tcW w:w="2045" w:type="dxa"/>
          </w:tcPr>
          <w:p w14:paraId="3365EADE" w14:textId="77777777" w:rsidR="00215DB9" w:rsidRDefault="00071201">
            <w:r>
              <w:rPr>
                <w:sz w:val="17"/>
              </w:rPr>
              <w:t>Likely drivers: replacement of windows/doors, finishes, MEP components, roof coverings and maintenance cycles.</w:t>
            </w:r>
          </w:p>
        </w:tc>
      </w:tr>
      <w:tr w:rsidR="00215DB9" w14:paraId="01765528" w14:textId="77777777">
        <w:trPr>
          <w:cantSplit/>
          <w:jc w:val="center"/>
        </w:trPr>
        <w:tc>
          <w:tcPr>
            <w:tcW w:w="2045" w:type="dxa"/>
          </w:tcPr>
          <w:p w14:paraId="7F18CFBD" w14:textId="77777777" w:rsidR="00215DB9" w:rsidRDefault="00071201">
            <w:r>
              <w:rPr>
                <w:sz w:val="17"/>
              </w:rPr>
              <w:t>C1-C4 End of life</w:t>
            </w:r>
          </w:p>
        </w:tc>
        <w:tc>
          <w:tcPr>
            <w:tcW w:w="2045" w:type="dxa"/>
          </w:tcPr>
          <w:p w14:paraId="75E67D51" w14:textId="77777777" w:rsidR="00215DB9" w:rsidRDefault="00071201">
            <w:r>
              <w:rPr>
                <w:sz w:val="17"/>
              </w:rPr>
              <w:t>60 kgCO2e/sq m</w:t>
            </w:r>
          </w:p>
        </w:tc>
        <w:tc>
          <w:tcPr>
            <w:tcW w:w="2045" w:type="dxa"/>
          </w:tcPr>
          <w:p w14:paraId="26628FC7" w14:textId="77777777" w:rsidR="00215DB9" w:rsidRDefault="00071201">
            <w:r>
              <w:rPr>
                <w:sz w:val="17"/>
              </w:rPr>
              <w:t>1,574 sq m</w:t>
            </w:r>
          </w:p>
        </w:tc>
        <w:tc>
          <w:tcPr>
            <w:tcW w:w="2045" w:type="dxa"/>
          </w:tcPr>
          <w:p w14:paraId="2E3288CE" w14:textId="77777777" w:rsidR="00215DB9" w:rsidRDefault="00071201">
            <w:r>
              <w:rPr>
                <w:sz w:val="17"/>
              </w:rPr>
              <w:t>94 tCO2e</w:t>
            </w:r>
          </w:p>
        </w:tc>
        <w:tc>
          <w:tcPr>
            <w:tcW w:w="2045" w:type="dxa"/>
          </w:tcPr>
          <w:p w14:paraId="63B71390" w14:textId="77777777" w:rsidR="00215DB9" w:rsidRDefault="00071201">
            <w:r>
              <w:rPr>
                <w:sz w:val="17"/>
              </w:rPr>
              <w:t>Deconstruction, waste processing, transport and disposal.</w:t>
            </w:r>
          </w:p>
        </w:tc>
      </w:tr>
      <w:tr w:rsidR="00215DB9" w14:paraId="0117901E" w14:textId="77777777">
        <w:trPr>
          <w:cantSplit/>
          <w:jc w:val="center"/>
        </w:trPr>
        <w:tc>
          <w:tcPr>
            <w:tcW w:w="2045" w:type="dxa"/>
            <w:shd w:val="clear" w:color="auto" w:fill="E2F0D9"/>
          </w:tcPr>
          <w:p w14:paraId="33AD8AD7" w14:textId="77777777" w:rsidR="00215DB9" w:rsidRDefault="00071201">
            <w:r>
              <w:rPr>
                <w:b/>
                <w:sz w:val="17"/>
              </w:rPr>
              <w:t>Indicative embodied total A-C</w:t>
            </w:r>
          </w:p>
        </w:tc>
        <w:tc>
          <w:tcPr>
            <w:tcW w:w="2045" w:type="dxa"/>
            <w:shd w:val="clear" w:color="auto" w:fill="E2F0D9"/>
          </w:tcPr>
          <w:p w14:paraId="23B43380" w14:textId="77777777" w:rsidR="00215DB9" w:rsidRDefault="00071201">
            <w:r>
              <w:rPr>
                <w:sz w:val="17"/>
              </w:rPr>
              <w:t>910 kgCO2e/sq m</w:t>
            </w:r>
          </w:p>
        </w:tc>
        <w:tc>
          <w:tcPr>
            <w:tcW w:w="2045" w:type="dxa"/>
            <w:shd w:val="clear" w:color="auto" w:fill="E2F0D9"/>
          </w:tcPr>
          <w:p w14:paraId="532868DD" w14:textId="77777777" w:rsidR="00215DB9" w:rsidRDefault="00071201">
            <w:r>
              <w:rPr>
                <w:sz w:val="17"/>
              </w:rPr>
              <w:t>1,574 sq m</w:t>
            </w:r>
          </w:p>
        </w:tc>
        <w:tc>
          <w:tcPr>
            <w:tcW w:w="2045" w:type="dxa"/>
            <w:shd w:val="clear" w:color="auto" w:fill="E2F0D9"/>
          </w:tcPr>
          <w:p w14:paraId="504BC0AF" w14:textId="77777777" w:rsidR="00215DB9" w:rsidRDefault="00071201">
            <w:r>
              <w:rPr>
                <w:sz w:val="17"/>
              </w:rPr>
              <w:t>1,432 tCO2e</w:t>
            </w:r>
          </w:p>
        </w:tc>
        <w:tc>
          <w:tcPr>
            <w:tcW w:w="2045" w:type="dxa"/>
            <w:shd w:val="clear" w:color="auto" w:fill="E2F0D9"/>
          </w:tcPr>
          <w:p w14:paraId="052BEC5E" w14:textId="77777777" w:rsidR="00215DB9" w:rsidRDefault="00071201">
            <w:r>
              <w:rPr>
                <w:sz w:val="17"/>
              </w:rPr>
              <w:t>Excludes operational energy and water; Module D reported separately if robust data is available.</w:t>
            </w:r>
          </w:p>
        </w:tc>
      </w:tr>
      <w:tr w:rsidR="00215DB9" w14:paraId="3E5EE2DA" w14:textId="77777777">
        <w:trPr>
          <w:cantSplit/>
          <w:jc w:val="center"/>
        </w:trPr>
        <w:tc>
          <w:tcPr>
            <w:tcW w:w="2045" w:type="dxa"/>
            <w:shd w:val="clear" w:color="auto" w:fill="E2F0D9"/>
          </w:tcPr>
          <w:p w14:paraId="00008AB2" w14:textId="77777777" w:rsidR="00215DB9" w:rsidRDefault="00071201">
            <w:r>
              <w:rPr>
                <w:b/>
                <w:sz w:val="17"/>
              </w:rPr>
              <w:t>Sensitivity range A-C</w:t>
            </w:r>
          </w:p>
        </w:tc>
        <w:tc>
          <w:tcPr>
            <w:tcW w:w="2045" w:type="dxa"/>
            <w:shd w:val="clear" w:color="auto" w:fill="E2F0D9"/>
          </w:tcPr>
          <w:p w14:paraId="2FD58032" w14:textId="77777777" w:rsidR="00215DB9" w:rsidRDefault="00071201">
            <w:r>
              <w:rPr>
                <w:sz w:val="17"/>
              </w:rPr>
              <w:t>740-1,080 kgCO2e/sq m</w:t>
            </w:r>
          </w:p>
        </w:tc>
        <w:tc>
          <w:tcPr>
            <w:tcW w:w="2045" w:type="dxa"/>
            <w:shd w:val="clear" w:color="auto" w:fill="E2F0D9"/>
          </w:tcPr>
          <w:p w14:paraId="2CA3BF9D" w14:textId="77777777" w:rsidR="00215DB9" w:rsidRDefault="00071201">
            <w:r>
              <w:rPr>
                <w:sz w:val="17"/>
              </w:rPr>
              <w:t>1,574 sq m</w:t>
            </w:r>
          </w:p>
        </w:tc>
        <w:tc>
          <w:tcPr>
            <w:tcW w:w="2045" w:type="dxa"/>
            <w:shd w:val="clear" w:color="auto" w:fill="E2F0D9"/>
          </w:tcPr>
          <w:p w14:paraId="20FAB56A" w14:textId="77777777" w:rsidR="00215DB9" w:rsidRDefault="00071201">
            <w:r>
              <w:rPr>
                <w:sz w:val="17"/>
              </w:rPr>
              <w:t>1,165-1,700 tCO2e</w:t>
            </w:r>
          </w:p>
        </w:tc>
        <w:tc>
          <w:tcPr>
            <w:tcW w:w="2045" w:type="dxa"/>
            <w:shd w:val="clear" w:color="auto" w:fill="E2F0D9"/>
          </w:tcPr>
          <w:p w14:paraId="4D0E7302" w14:textId="77777777" w:rsidR="00215DB9" w:rsidRDefault="00071201">
            <w:r>
              <w:rPr>
                <w:sz w:val="17"/>
              </w:rPr>
              <w:t>Reflects the uncertainty of early design-stage quantities and product choices.</w:t>
            </w:r>
          </w:p>
        </w:tc>
      </w:tr>
    </w:tbl>
    <w:p w14:paraId="593197D7" w14:textId="77777777" w:rsidR="00215DB9" w:rsidRDefault="00071201">
      <w:r>
        <w:t>The principal opportunity for embodied carbon reduction is during detailed design, procurement and specification. The above calculation should therefore be treated as a baseline to be refined, not a fixed final carbon account.</w:t>
      </w:r>
    </w:p>
    <w:p w14:paraId="5E9AFA5B" w14:textId="77777777" w:rsidR="00215DB9" w:rsidRDefault="00071201">
      <w:pPr>
        <w:pStyle w:val="Heading1"/>
      </w:pPr>
      <w:r>
        <w:t>8. Whole life carbon reduction measures</w:t>
      </w:r>
    </w:p>
    <w:tbl>
      <w:tblPr>
        <w:tblStyle w:val="TableGrid"/>
        <w:tblW w:w="0" w:type="auto"/>
        <w:jc w:val="center"/>
        <w:tblLook w:val="04A0" w:firstRow="1" w:lastRow="0" w:firstColumn="1" w:lastColumn="0" w:noHBand="0" w:noVBand="1"/>
      </w:tblPr>
      <w:tblGrid>
        <w:gridCol w:w="3408"/>
        <w:gridCol w:w="3408"/>
        <w:gridCol w:w="3408"/>
      </w:tblGrid>
      <w:tr w:rsidR="00215DB9" w14:paraId="1BDBB552" w14:textId="77777777">
        <w:trPr>
          <w:cantSplit/>
          <w:tblHeader/>
          <w:jc w:val="center"/>
        </w:trPr>
        <w:tc>
          <w:tcPr>
            <w:tcW w:w="3408" w:type="dxa"/>
            <w:shd w:val="clear" w:color="auto" w:fill="D9EAF7"/>
          </w:tcPr>
          <w:p w14:paraId="7A835A6F" w14:textId="77777777" w:rsidR="00215DB9" w:rsidRDefault="00071201">
            <w:r>
              <w:rPr>
                <w:b/>
                <w:sz w:val="17"/>
              </w:rPr>
              <w:t>Carbon driver</w:t>
            </w:r>
          </w:p>
        </w:tc>
        <w:tc>
          <w:tcPr>
            <w:tcW w:w="3408" w:type="dxa"/>
            <w:shd w:val="clear" w:color="auto" w:fill="D9EAF7"/>
          </w:tcPr>
          <w:p w14:paraId="1C314B50" w14:textId="77777777" w:rsidR="00215DB9" w:rsidRDefault="00071201">
            <w:r>
              <w:rPr>
                <w:b/>
                <w:sz w:val="17"/>
              </w:rPr>
              <w:t>Reduction measure</w:t>
            </w:r>
          </w:p>
        </w:tc>
        <w:tc>
          <w:tcPr>
            <w:tcW w:w="3408" w:type="dxa"/>
            <w:shd w:val="clear" w:color="auto" w:fill="D9EAF7"/>
          </w:tcPr>
          <w:p w14:paraId="2A2300A0" w14:textId="77777777" w:rsidR="00215DB9" w:rsidRDefault="00071201">
            <w:r>
              <w:rPr>
                <w:b/>
                <w:sz w:val="17"/>
              </w:rPr>
              <w:t>Stage</w:t>
            </w:r>
          </w:p>
        </w:tc>
      </w:tr>
      <w:tr w:rsidR="00215DB9" w14:paraId="5C7CA66E" w14:textId="77777777">
        <w:trPr>
          <w:cantSplit/>
          <w:jc w:val="center"/>
        </w:trPr>
        <w:tc>
          <w:tcPr>
            <w:tcW w:w="3408" w:type="dxa"/>
          </w:tcPr>
          <w:p w14:paraId="56C7D14C" w14:textId="77777777" w:rsidR="00215DB9" w:rsidRDefault="00071201">
            <w:r>
              <w:rPr>
                <w:sz w:val="17"/>
              </w:rPr>
              <w:t>Foundations and groundworks</w:t>
            </w:r>
          </w:p>
        </w:tc>
        <w:tc>
          <w:tcPr>
            <w:tcW w:w="3408" w:type="dxa"/>
          </w:tcPr>
          <w:p w14:paraId="4AB52787" w14:textId="77777777" w:rsidR="00215DB9" w:rsidRDefault="00071201">
            <w:r>
              <w:rPr>
                <w:sz w:val="17"/>
              </w:rPr>
              <w:t>Use site investigation to avoid over-designed foundations; optimise retaining structures; minimise excavation/export where possible.</w:t>
            </w:r>
          </w:p>
        </w:tc>
        <w:tc>
          <w:tcPr>
            <w:tcW w:w="3408" w:type="dxa"/>
          </w:tcPr>
          <w:p w14:paraId="22BA347F" w14:textId="77777777" w:rsidR="00215DB9" w:rsidRDefault="00071201">
            <w:r>
              <w:rPr>
                <w:sz w:val="17"/>
              </w:rPr>
              <w:t>Technical design</w:t>
            </w:r>
          </w:p>
        </w:tc>
      </w:tr>
      <w:tr w:rsidR="00215DB9" w14:paraId="1B975774" w14:textId="77777777">
        <w:trPr>
          <w:cantSplit/>
          <w:jc w:val="center"/>
        </w:trPr>
        <w:tc>
          <w:tcPr>
            <w:tcW w:w="3408" w:type="dxa"/>
          </w:tcPr>
          <w:p w14:paraId="3509AFF0" w14:textId="77777777" w:rsidR="00215DB9" w:rsidRDefault="00071201">
            <w:r>
              <w:rPr>
                <w:sz w:val="17"/>
              </w:rPr>
              <w:t>Concrete and masonry</w:t>
            </w:r>
          </w:p>
        </w:tc>
        <w:tc>
          <w:tcPr>
            <w:tcW w:w="3408" w:type="dxa"/>
          </w:tcPr>
          <w:p w14:paraId="4FAF6C31" w14:textId="77777777" w:rsidR="00215DB9" w:rsidRDefault="00071201">
            <w:r>
              <w:rPr>
                <w:sz w:val="17"/>
              </w:rPr>
              <w:t>Specify cement replacements/low-carbon concrete where feasible; select locally sourced masonry products with EPDs where available.</w:t>
            </w:r>
          </w:p>
        </w:tc>
        <w:tc>
          <w:tcPr>
            <w:tcW w:w="3408" w:type="dxa"/>
          </w:tcPr>
          <w:p w14:paraId="17D6841F" w14:textId="77777777" w:rsidR="00215DB9" w:rsidRDefault="00071201">
            <w:r>
              <w:rPr>
                <w:sz w:val="17"/>
              </w:rPr>
              <w:t>Specification/procurement</w:t>
            </w:r>
          </w:p>
        </w:tc>
      </w:tr>
      <w:tr w:rsidR="00215DB9" w14:paraId="68B24DC3" w14:textId="77777777">
        <w:trPr>
          <w:cantSplit/>
          <w:jc w:val="center"/>
        </w:trPr>
        <w:tc>
          <w:tcPr>
            <w:tcW w:w="3408" w:type="dxa"/>
          </w:tcPr>
          <w:p w14:paraId="1802CDD7" w14:textId="77777777" w:rsidR="00215DB9" w:rsidRDefault="00071201">
            <w:r>
              <w:rPr>
                <w:sz w:val="17"/>
              </w:rPr>
              <w:t>Steelwork</w:t>
            </w:r>
          </w:p>
        </w:tc>
        <w:tc>
          <w:tcPr>
            <w:tcW w:w="3408" w:type="dxa"/>
          </w:tcPr>
          <w:p w14:paraId="3E9F7CA2" w14:textId="77777777" w:rsidR="00215DB9" w:rsidRDefault="00071201">
            <w:r>
              <w:rPr>
                <w:sz w:val="17"/>
              </w:rPr>
              <w:t>Optimise beam sizes through structural design; specify recycled-content steel where practical.</w:t>
            </w:r>
          </w:p>
        </w:tc>
        <w:tc>
          <w:tcPr>
            <w:tcW w:w="3408" w:type="dxa"/>
          </w:tcPr>
          <w:p w14:paraId="077D304A" w14:textId="77777777" w:rsidR="00215DB9" w:rsidRDefault="00071201">
            <w:r>
              <w:rPr>
                <w:sz w:val="17"/>
              </w:rPr>
              <w:t>Structural design</w:t>
            </w:r>
          </w:p>
        </w:tc>
      </w:tr>
      <w:tr w:rsidR="00215DB9" w14:paraId="1D8ADC61" w14:textId="77777777">
        <w:trPr>
          <w:cantSplit/>
          <w:jc w:val="center"/>
        </w:trPr>
        <w:tc>
          <w:tcPr>
            <w:tcW w:w="3408" w:type="dxa"/>
          </w:tcPr>
          <w:p w14:paraId="1B5E2B9A" w14:textId="77777777" w:rsidR="00215DB9" w:rsidRDefault="00071201">
            <w:r>
              <w:rPr>
                <w:sz w:val="17"/>
              </w:rPr>
              <w:t>Timber</w:t>
            </w:r>
          </w:p>
        </w:tc>
        <w:tc>
          <w:tcPr>
            <w:tcW w:w="3408" w:type="dxa"/>
          </w:tcPr>
          <w:p w14:paraId="06BB6CCB" w14:textId="77777777" w:rsidR="00215DB9" w:rsidRDefault="00071201">
            <w:r>
              <w:rPr>
                <w:sz w:val="17"/>
              </w:rPr>
              <w:t>Use responsibly sourced FSC/PEFC timber; consider engineered timber for non-critical elements where practical.</w:t>
            </w:r>
          </w:p>
        </w:tc>
        <w:tc>
          <w:tcPr>
            <w:tcW w:w="3408" w:type="dxa"/>
          </w:tcPr>
          <w:p w14:paraId="5F4963E9" w14:textId="77777777" w:rsidR="00215DB9" w:rsidRDefault="00071201">
            <w:r>
              <w:rPr>
                <w:sz w:val="17"/>
              </w:rPr>
              <w:t>Specification</w:t>
            </w:r>
          </w:p>
        </w:tc>
      </w:tr>
      <w:tr w:rsidR="00215DB9" w14:paraId="3B5795EC" w14:textId="77777777">
        <w:trPr>
          <w:cantSplit/>
          <w:jc w:val="center"/>
        </w:trPr>
        <w:tc>
          <w:tcPr>
            <w:tcW w:w="3408" w:type="dxa"/>
          </w:tcPr>
          <w:p w14:paraId="73353CF1" w14:textId="77777777" w:rsidR="00215DB9" w:rsidRDefault="00071201">
            <w:r>
              <w:rPr>
                <w:sz w:val="17"/>
              </w:rPr>
              <w:t>Insulation</w:t>
            </w:r>
          </w:p>
        </w:tc>
        <w:tc>
          <w:tcPr>
            <w:tcW w:w="3408" w:type="dxa"/>
          </w:tcPr>
          <w:p w14:paraId="5C6FE33C" w14:textId="77777777" w:rsidR="00215DB9" w:rsidRDefault="00071201">
            <w:r>
              <w:rPr>
                <w:sz w:val="17"/>
              </w:rPr>
              <w:t>Select insulation with appropriate thermal performance and lower embodied carbon where technically suitable and cost viable.</w:t>
            </w:r>
          </w:p>
        </w:tc>
        <w:tc>
          <w:tcPr>
            <w:tcW w:w="3408" w:type="dxa"/>
          </w:tcPr>
          <w:p w14:paraId="4B6D4E09" w14:textId="77777777" w:rsidR="00215DB9" w:rsidRDefault="00071201">
            <w:r>
              <w:rPr>
                <w:sz w:val="17"/>
              </w:rPr>
              <w:t>Technical design</w:t>
            </w:r>
          </w:p>
        </w:tc>
      </w:tr>
      <w:tr w:rsidR="00215DB9" w14:paraId="09E55EA9" w14:textId="77777777">
        <w:trPr>
          <w:cantSplit/>
          <w:jc w:val="center"/>
        </w:trPr>
        <w:tc>
          <w:tcPr>
            <w:tcW w:w="3408" w:type="dxa"/>
          </w:tcPr>
          <w:p w14:paraId="2A1F52BB" w14:textId="77777777" w:rsidR="00215DB9" w:rsidRDefault="00071201">
            <w:r>
              <w:rPr>
                <w:sz w:val="17"/>
              </w:rPr>
              <w:t>Windows/doors</w:t>
            </w:r>
          </w:p>
        </w:tc>
        <w:tc>
          <w:tcPr>
            <w:tcW w:w="3408" w:type="dxa"/>
          </w:tcPr>
          <w:p w14:paraId="0EB59B2A" w14:textId="77777777" w:rsidR="00215DB9" w:rsidRDefault="00071201">
            <w:r>
              <w:rPr>
                <w:sz w:val="17"/>
              </w:rPr>
              <w:t>Specify durable, repairable products with good U-values and long service life.</w:t>
            </w:r>
          </w:p>
        </w:tc>
        <w:tc>
          <w:tcPr>
            <w:tcW w:w="3408" w:type="dxa"/>
          </w:tcPr>
          <w:p w14:paraId="680E5BD1" w14:textId="77777777" w:rsidR="00215DB9" w:rsidRDefault="00071201">
            <w:r>
              <w:rPr>
                <w:sz w:val="17"/>
              </w:rPr>
              <w:t>Specification</w:t>
            </w:r>
          </w:p>
        </w:tc>
      </w:tr>
      <w:tr w:rsidR="00215DB9" w14:paraId="70911E76" w14:textId="77777777">
        <w:trPr>
          <w:cantSplit/>
          <w:jc w:val="center"/>
        </w:trPr>
        <w:tc>
          <w:tcPr>
            <w:tcW w:w="3408" w:type="dxa"/>
          </w:tcPr>
          <w:p w14:paraId="3F6D24EE" w14:textId="77777777" w:rsidR="00215DB9" w:rsidRDefault="00071201">
            <w:r>
              <w:rPr>
                <w:sz w:val="17"/>
              </w:rPr>
              <w:t>Services</w:t>
            </w:r>
          </w:p>
        </w:tc>
        <w:tc>
          <w:tcPr>
            <w:tcW w:w="3408" w:type="dxa"/>
          </w:tcPr>
          <w:p w14:paraId="592E8664" w14:textId="77777777" w:rsidR="00215DB9" w:rsidRDefault="00071201">
            <w:r>
              <w:rPr>
                <w:sz w:val="17"/>
              </w:rPr>
              <w:t>Prioritise efficient low-carbon heat, simple maintainable systems and right-sized plant.</w:t>
            </w:r>
          </w:p>
        </w:tc>
        <w:tc>
          <w:tcPr>
            <w:tcW w:w="3408" w:type="dxa"/>
          </w:tcPr>
          <w:p w14:paraId="68E6928D" w14:textId="77777777" w:rsidR="00215DB9" w:rsidRDefault="00071201">
            <w:r>
              <w:rPr>
                <w:sz w:val="17"/>
              </w:rPr>
              <w:t>SAP/MEP design</w:t>
            </w:r>
          </w:p>
        </w:tc>
      </w:tr>
      <w:tr w:rsidR="00215DB9" w14:paraId="3F067CBE" w14:textId="77777777">
        <w:trPr>
          <w:cantSplit/>
          <w:jc w:val="center"/>
        </w:trPr>
        <w:tc>
          <w:tcPr>
            <w:tcW w:w="3408" w:type="dxa"/>
          </w:tcPr>
          <w:p w14:paraId="0A4A7CA5" w14:textId="77777777" w:rsidR="00215DB9" w:rsidRDefault="00071201">
            <w:r>
              <w:rPr>
                <w:sz w:val="17"/>
              </w:rPr>
              <w:t>Waste</w:t>
            </w:r>
          </w:p>
        </w:tc>
        <w:tc>
          <w:tcPr>
            <w:tcW w:w="3408" w:type="dxa"/>
          </w:tcPr>
          <w:p w14:paraId="669C8F72" w14:textId="77777777" w:rsidR="00215DB9" w:rsidRDefault="00071201">
            <w:r>
              <w:rPr>
                <w:sz w:val="17"/>
              </w:rPr>
              <w:t>Prepare a Site Waste Management approach; segregate waste; minimise off-cuts; use supplier take-back schemes.</w:t>
            </w:r>
          </w:p>
        </w:tc>
        <w:tc>
          <w:tcPr>
            <w:tcW w:w="3408" w:type="dxa"/>
          </w:tcPr>
          <w:p w14:paraId="1F37E986" w14:textId="77777777" w:rsidR="00215DB9" w:rsidRDefault="00071201">
            <w:r>
              <w:rPr>
                <w:sz w:val="17"/>
              </w:rPr>
              <w:t>Construction</w:t>
            </w:r>
          </w:p>
        </w:tc>
      </w:tr>
      <w:tr w:rsidR="00215DB9" w14:paraId="063060FB" w14:textId="77777777">
        <w:trPr>
          <w:cantSplit/>
          <w:jc w:val="center"/>
        </w:trPr>
        <w:tc>
          <w:tcPr>
            <w:tcW w:w="3408" w:type="dxa"/>
          </w:tcPr>
          <w:p w14:paraId="76EC4E4D" w14:textId="77777777" w:rsidR="00215DB9" w:rsidRDefault="00071201">
            <w:r>
              <w:rPr>
                <w:sz w:val="17"/>
              </w:rPr>
              <w:t>Operational energy</w:t>
            </w:r>
          </w:p>
        </w:tc>
        <w:tc>
          <w:tcPr>
            <w:tcW w:w="3408" w:type="dxa"/>
          </w:tcPr>
          <w:p w14:paraId="6284D289" w14:textId="77777777" w:rsidR="00215DB9" w:rsidRDefault="00071201">
            <w:r>
              <w:rPr>
                <w:sz w:val="17"/>
              </w:rPr>
              <w:t>Fabric-first design, low-carbon heating, PV-ready roofs, efficient controls and commissioning.</w:t>
            </w:r>
          </w:p>
        </w:tc>
        <w:tc>
          <w:tcPr>
            <w:tcW w:w="3408" w:type="dxa"/>
          </w:tcPr>
          <w:p w14:paraId="1C8DC7A2" w14:textId="77777777" w:rsidR="00215DB9" w:rsidRDefault="00071201">
            <w:r>
              <w:rPr>
                <w:sz w:val="17"/>
              </w:rPr>
              <w:t>Detailed design and occupation</w:t>
            </w:r>
          </w:p>
        </w:tc>
      </w:tr>
      <w:tr w:rsidR="00215DB9" w14:paraId="5BF8236F" w14:textId="77777777">
        <w:trPr>
          <w:cantSplit/>
          <w:jc w:val="center"/>
        </w:trPr>
        <w:tc>
          <w:tcPr>
            <w:tcW w:w="3408" w:type="dxa"/>
          </w:tcPr>
          <w:p w14:paraId="09052978" w14:textId="77777777" w:rsidR="00215DB9" w:rsidRDefault="00071201">
            <w:r>
              <w:rPr>
                <w:sz w:val="17"/>
              </w:rPr>
              <w:lastRenderedPageBreak/>
              <w:t>End of life</w:t>
            </w:r>
          </w:p>
        </w:tc>
        <w:tc>
          <w:tcPr>
            <w:tcW w:w="3408" w:type="dxa"/>
          </w:tcPr>
          <w:p w14:paraId="2614A17C" w14:textId="77777777" w:rsidR="00215DB9" w:rsidRDefault="00071201">
            <w:r>
              <w:rPr>
                <w:sz w:val="17"/>
              </w:rPr>
              <w:t>Design with conventional, separable materials where possible to support future repair, reuse and recycling.</w:t>
            </w:r>
          </w:p>
        </w:tc>
        <w:tc>
          <w:tcPr>
            <w:tcW w:w="3408" w:type="dxa"/>
          </w:tcPr>
          <w:p w14:paraId="0083D111" w14:textId="77777777" w:rsidR="00215DB9" w:rsidRDefault="00071201">
            <w:r>
              <w:rPr>
                <w:sz w:val="17"/>
              </w:rPr>
              <w:t>Design/specification</w:t>
            </w:r>
          </w:p>
        </w:tc>
      </w:tr>
    </w:tbl>
    <w:p w14:paraId="5974443F" w14:textId="77777777" w:rsidR="00215DB9" w:rsidRDefault="00071201">
      <w:pPr>
        <w:pStyle w:val="Heading1"/>
      </w:pPr>
      <w:r>
        <w:t>9. Water, drainage, biodiversity and waste</w:t>
      </w:r>
    </w:p>
    <w:p w14:paraId="5C6B11E8" w14:textId="77777777" w:rsidR="00215DB9" w:rsidRDefault="00071201">
      <w:pPr>
        <w:pStyle w:val="ListBullet"/>
      </w:pPr>
      <w:r>
        <w:t>Water-efficient fittings should be specified, with a target potable water use of 110 litres/person/day or better where technically feasible.</w:t>
      </w:r>
    </w:p>
    <w:p w14:paraId="129AD623" w14:textId="77777777" w:rsidR="00215DB9" w:rsidRDefault="00071201">
      <w:pPr>
        <w:pStyle w:val="ListBullet"/>
      </w:pPr>
      <w:r>
        <w:t>Surface water should be managed in accordance with the drainage strategy and SuDS principles, with opportunities for permeable paving, rain gardens, attenuation and planting integrated into the site layout where feasible.</w:t>
      </w:r>
    </w:p>
    <w:p w14:paraId="5915C2EC" w14:textId="77777777" w:rsidR="00215DB9" w:rsidRDefault="00071201">
      <w:pPr>
        <w:pStyle w:val="ListBullet"/>
      </w:pPr>
      <w:r>
        <w:t>Frontage landscaping, street trees, native planting, garden areas and biodiversity features should be coordinated with the BNG/ecology submission.</w:t>
      </w:r>
    </w:p>
    <w:p w14:paraId="32E3B924" w14:textId="77777777" w:rsidR="00215DB9" w:rsidRDefault="00071201">
      <w:pPr>
        <w:pStyle w:val="ListBullet"/>
      </w:pPr>
      <w:r>
        <w:t>Operational waste and recycling storage should be convenient, screened where necessary and designed so that bin locations do not dominate the street scene.</w:t>
      </w:r>
    </w:p>
    <w:p w14:paraId="65427903" w14:textId="77777777" w:rsidR="00215DB9" w:rsidRDefault="00071201">
      <w:pPr>
        <w:pStyle w:val="ListBullet"/>
      </w:pPr>
      <w:r>
        <w:t>Construction waste should be managed through a contractor-led waste minimisation and recycling plan.</w:t>
      </w:r>
    </w:p>
    <w:p w14:paraId="42294740" w14:textId="77777777" w:rsidR="00215DB9" w:rsidRDefault="00071201">
      <w:pPr>
        <w:pStyle w:val="Heading1"/>
      </w:pPr>
      <w:r>
        <w:t>10. Commitments and recommended conditions</w:t>
      </w:r>
    </w:p>
    <w:p w14:paraId="449F2FF3" w14:textId="77777777" w:rsidR="00215DB9" w:rsidRDefault="00071201">
      <w:pPr>
        <w:pStyle w:val="ListBullet"/>
      </w:pPr>
      <w:r>
        <w:t>Submit final SAP/Part L calculations prior to construction.</w:t>
      </w:r>
    </w:p>
    <w:p w14:paraId="29FF64FB" w14:textId="77777777" w:rsidR="00215DB9" w:rsidRDefault="00071201">
      <w:pPr>
        <w:pStyle w:val="ListBullet"/>
      </w:pPr>
      <w:r>
        <w:t>Confirm low-carbon heating strategy and PV feasibility at Building Regulations stage.</w:t>
      </w:r>
    </w:p>
    <w:p w14:paraId="45D1B3A5" w14:textId="77777777" w:rsidR="00215DB9" w:rsidRDefault="00071201">
      <w:pPr>
        <w:pStyle w:val="ListBullet"/>
      </w:pPr>
      <w:r>
        <w:t>Provide EV charging details for each plot.</w:t>
      </w:r>
    </w:p>
    <w:p w14:paraId="18E59F34" w14:textId="77777777" w:rsidR="00215DB9" w:rsidRDefault="00071201">
      <w:pPr>
        <w:pStyle w:val="ListBullet"/>
      </w:pPr>
      <w:r>
        <w:t>Submit final external materials and product specification, prioritising durable and responsibly sourced materials.</w:t>
      </w:r>
    </w:p>
    <w:p w14:paraId="3C1954B3" w14:textId="77777777" w:rsidR="00215DB9" w:rsidRDefault="00071201">
      <w:pPr>
        <w:pStyle w:val="ListBullet"/>
      </w:pPr>
      <w:r>
        <w:t>Update the WLCA at technical design stage once material quantities, structural design and MEP specification are available.</w:t>
      </w:r>
    </w:p>
    <w:p w14:paraId="32D32375" w14:textId="77777777" w:rsidR="00215DB9" w:rsidRDefault="00071201">
      <w:pPr>
        <w:pStyle w:val="ListBullet"/>
      </w:pPr>
      <w:r>
        <w:t>Submit/secure a landscape, SuDS and biodiversity maintenance strategy.</w:t>
      </w:r>
    </w:p>
    <w:p w14:paraId="6903FD78" w14:textId="77777777" w:rsidR="00215DB9" w:rsidRDefault="00071201">
      <w:pPr>
        <w:pStyle w:val="ListBullet"/>
      </w:pPr>
      <w:r>
        <w:t>Implement a construction waste management approach.</w:t>
      </w:r>
    </w:p>
    <w:p w14:paraId="591FC6C0" w14:textId="77777777" w:rsidR="00215DB9" w:rsidRDefault="00071201">
      <w:pPr>
        <w:pStyle w:val="Heading1"/>
      </w:pPr>
      <w:r>
        <w:t>11. Conclusion</w:t>
      </w:r>
    </w:p>
    <w:p w14:paraId="33188BA4" w14:textId="77777777" w:rsidR="00215DB9" w:rsidRDefault="00071201">
      <w:r>
        <w:t>The development is located on an allocated housing site within an existing settlement and therefore makes efficient use of land in a sustainable location. The scheme can follow a robust energy hierarchy through fabric-first construction, efficient services, low-carbon heat, EV charging and renewable technology where feasible. The planning-stage WLCA identifies the principal embodied carbon drivers and sets out reduction measures to be refined at technical design stage. Subject to the commitments and updates</w:t>
      </w:r>
      <w:r>
        <w:t xml:space="preserve"> identified above, the proposal is considered to provide an appropriate energy and sustainability response for a 10-dwelling residential scheme.</w:t>
      </w:r>
    </w:p>
    <w:p w14:paraId="4FB1EEE4" w14:textId="77777777" w:rsidR="00215DB9" w:rsidRDefault="00071201">
      <w:pPr>
        <w:pStyle w:val="Heading1"/>
      </w:pPr>
      <w:r>
        <w:t>References and source material</w:t>
      </w:r>
    </w:p>
    <w:p w14:paraId="78267246" w14:textId="77777777" w:rsidR="00215DB9" w:rsidRDefault="00071201">
      <w:pPr>
        <w:pStyle w:val="ListBullet"/>
      </w:pPr>
      <w:r>
        <w:t>Design and Access Statement, Proposed Residential Development at Sheffield Road, Birdwell, Barnsley (Site HS67), White Agus Ltd, January 2025.</w:t>
      </w:r>
    </w:p>
    <w:p w14:paraId="75FAD246" w14:textId="77777777" w:rsidR="00215DB9" w:rsidRDefault="00071201">
      <w:pPr>
        <w:pStyle w:val="ListBullet"/>
      </w:pPr>
      <w:r>
        <w:t>National Design Guide Assessment, Proposed Residential Development, Land at Sheffield Road, Birdwell, Barnsley, White Agus Ltd, June 2026.</w:t>
      </w:r>
    </w:p>
    <w:p w14:paraId="3261C888" w14:textId="77777777" w:rsidR="00215DB9" w:rsidRDefault="00071201">
      <w:pPr>
        <w:pStyle w:val="ListBullet"/>
      </w:pPr>
      <w:r>
        <w:t>Drawing 24-057-01C, Site Plan, White Agus Ltd.</w:t>
      </w:r>
    </w:p>
    <w:p w14:paraId="6C56E20B" w14:textId="77777777" w:rsidR="00215DB9" w:rsidRDefault="00071201">
      <w:pPr>
        <w:pStyle w:val="ListBullet"/>
      </w:pPr>
      <w:r>
        <w:t>House type drawings for Plots 1-3, Plots 4-7 and Plots 8-10, White Agus Ltd.</w:t>
      </w:r>
    </w:p>
    <w:p w14:paraId="5C2ABBA0" w14:textId="77777777" w:rsidR="00215DB9" w:rsidRDefault="00071201">
      <w:pPr>
        <w:pStyle w:val="ListBullet"/>
      </w:pPr>
      <w:r>
        <w:t>Homes England, Building for a Healthy Life, 2026 edition.</w:t>
      </w:r>
    </w:p>
    <w:p w14:paraId="6E6CDE3C" w14:textId="77777777" w:rsidR="00215DB9" w:rsidRDefault="00071201">
      <w:pPr>
        <w:pStyle w:val="ListBullet"/>
      </w:pPr>
      <w:r>
        <w:t>Barnsley Metropolitan Borough Council, Barnsley Local Plan and Sustainable Construction and Climate Change Adaptation SPD.</w:t>
      </w:r>
    </w:p>
    <w:p w14:paraId="6196A053" w14:textId="77777777" w:rsidR="00215DB9" w:rsidRDefault="00071201">
      <w:pPr>
        <w:pStyle w:val="ListBullet"/>
      </w:pPr>
      <w:r>
        <w:t>RICS, Whole Life Carbon Assessment for the Built Environment, global 2nd edition, effective from 1 July 2024.</w:t>
      </w:r>
    </w:p>
    <w:p w14:paraId="6A918C28" w14:textId="77777777" w:rsidR="00215DB9" w:rsidRDefault="00071201">
      <w:pPr>
        <w:pStyle w:val="ListBullet"/>
      </w:pPr>
      <w:r>
        <w:lastRenderedPageBreak/>
        <w:t>RIBA 2030 Climate Challenge, Version 2, 2021, used as non-mandatory benchmark context only.</w:t>
      </w:r>
    </w:p>
    <w:sectPr w:rsidR="00215DB9"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52550072">
    <w:abstractNumId w:val="8"/>
  </w:num>
  <w:num w:numId="2" w16cid:durableId="32073172">
    <w:abstractNumId w:val="6"/>
  </w:num>
  <w:num w:numId="3" w16cid:durableId="840465373">
    <w:abstractNumId w:val="5"/>
  </w:num>
  <w:num w:numId="4" w16cid:durableId="1398750620">
    <w:abstractNumId w:val="4"/>
  </w:num>
  <w:num w:numId="5" w16cid:durableId="611471942">
    <w:abstractNumId w:val="7"/>
  </w:num>
  <w:num w:numId="6" w16cid:durableId="328991980">
    <w:abstractNumId w:val="3"/>
  </w:num>
  <w:num w:numId="7" w16cid:durableId="1744451528">
    <w:abstractNumId w:val="2"/>
  </w:num>
  <w:num w:numId="8" w16cid:durableId="6295408">
    <w:abstractNumId w:val="1"/>
  </w:num>
  <w:num w:numId="9" w16cid:durableId="792947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1201"/>
    <w:rsid w:val="0015074B"/>
    <w:rsid w:val="001B7841"/>
    <w:rsid w:val="00215DB9"/>
    <w:rsid w:val="0029639D"/>
    <w:rsid w:val="00326F90"/>
    <w:rsid w:val="00546FE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F38932"/>
  <w14:defaultImageDpi w14:val="300"/>
  <w15:docId w15:val="{0CF972E4-77B1-488E-A19E-82417490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Energy/Sustainability Statement</FileType1>
    <TaxCatchAll xmlns="f4edfb27-fdcf-4944-9520-fd54d4f1d725" xsi:nil="true"/>
    <_Flow_SignoffStatus xmlns="0cd06ba8-3d0c-4461-b1b9-cc99cc46e70a" xsi:nil="true"/>
    <CategoryDescription xmlns="http://schemas.microsoft.com/sharepoint.v3">15/07/2026</CategoryDescription>
    <Public xmlns="f4edfb27-fdcf-4944-9520-fd54d4f1d725">true</Public>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244DDBD-8EA2-419F-86AC-2B40702BEFC5}"/>
</file>

<file path=customXml/itemProps3.xml><?xml version="1.0" encoding="utf-8"?>
<ds:datastoreItem xmlns:ds="http://schemas.openxmlformats.org/officeDocument/2006/customXml" ds:itemID="{ABF1B4B5-5918-4C99-A460-10832291923D}">
  <ds:schemaRefs>
    <ds:schemaRef ds:uri="http://schemas.microsoft.com/sharepoint/v3/contenttype/forms"/>
  </ds:schemaRefs>
</ds:datastoreItem>
</file>

<file path=customXml/itemProps4.xml><?xml version="1.0" encoding="utf-8"?>
<ds:datastoreItem xmlns:ds="http://schemas.openxmlformats.org/officeDocument/2006/customXml" ds:itemID="{925045D8-A276-41B6-B55C-FB9C36E0616B}">
  <ds:schemaRefs>
    <ds:schemaRef ds:uri="http://schemas.microsoft.com/office/2006/metadata/properties"/>
    <ds:schemaRef ds:uri="http://schemas.microsoft.com/office/infopath/2007/PartnerControls"/>
    <ds:schemaRef ds:uri="a9dee486-b47d-4bcd-ae83-299e7c30de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1619</Words>
  <Characters>10466</Characters>
  <Application>Microsoft Office Word</Application>
  <DocSecurity>4</DocSecurity>
  <Lines>307</Lines>
  <Paragraphs>215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Tom Agus</cp:lastModifiedBy>
  <cp:revision>2</cp:revision>
  <dcterms:created xsi:type="dcterms:W3CDTF">2026-07-15T08:25:00Z</dcterms:created>
  <dcterms:modified xsi:type="dcterms:W3CDTF">2026-07-15T08:25:00Z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