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5364E" w14:textId="77777777" w:rsidR="00AD63ED" w:rsidRPr="00AD63ED" w:rsidRDefault="00AD63ED" w:rsidP="00AD63ED">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AD63ED">
        <w:rPr>
          <w:rFonts w:ascii="Arial" w:eastAsia="Times New Roman" w:hAnsi="Arial" w:cs="Arial"/>
          <w:b/>
          <w:bCs/>
          <w:kern w:val="36"/>
          <w:sz w:val="48"/>
          <w:szCs w:val="48"/>
          <w:lang w:eastAsia="en-GB"/>
          <w14:ligatures w14:val="none"/>
        </w:rPr>
        <w:t>HERITAGE STATEMENT</w:t>
      </w:r>
    </w:p>
    <w:p w14:paraId="5AE11405"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b/>
          <w:bCs/>
          <w:kern w:val="0"/>
          <w:lang w:eastAsia="en-GB"/>
          <w14:ligatures w14:val="none"/>
        </w:rPr>
        <w:t>Retrospective Listed Building Consent Application</w:t>
      </w:r>
      <w:r w:rsidRPr="00AD63ED">
        <w:rPr>
          <w:rFonts w:ascii="Arial" w:eastAsia="Times New Roman" w:hAnsi="Arial" w:cs="Arial"/>
          <w:kern w:val="0"/>
          <w:lang w:eastAsia="en-GB"/>
          <w14:ligatures w14:val="none"/>
        </w:rPr>
        <w:t xml:space="preserve"> </w:t>
      </w:r>
      <w:r w:rsidRPr="00AD63ED">
        <w:rPr>
          <w:rFonts w:ascii="Arial" w:eastAsia="Times New Roman" w:hAnsi="Arial" w:cs="Arial"/>
          <w:b/>
          <w:bCs/>
          <w:kern w:val="0"/>
          <w:lang w:eastAsia="en-GB"/>
          <w14:ligatures w14:val="none"/>
        </w:rPr>
        <w:t>Site:</w:t>
      </w:r>
      <w:r w:rsidRPr="00AD63ED">
        <w:rPr>
          <w:rFonts w:ascii="Arial" w:eastAsia="Times New Roman" w:hAnsi="Arial" w:cs="Arial"/>
          <w:kern w:val="0"/>
          <w:lang w:eastAsia="en-GB"/>
          <w14:ligatures w14:val="none"/>
        </w:rPr>
        <w:t xml:space="preserve"> No. 3 Fieldhead Manor, Silkstone, Barnsley </w:t>
      </w:r>
      <w:r w:rsidRPr="00AD63ED">
        <w:rPr>
          <w:rFonts w:ascii="Arial" w:eastAsia="Times New Roman" w:hAnsi="Arial" w:cs="Arial"/>
          <w:b/>
          <w:bCs/>
          <w:kern w:val="0"/>
          <w:lang w:eastAsia="en-GB"/>
          <w14:ligatures w14:val="none"/>
        </w:rPr>
        <w:t>Drawing Reference:</w:t>
      </w:r>
      <w:r w:rsidRPr="00AD63ED">
        <w:rPr>
          <w:rFonts w:ascii="Arial" w:eastAsia="Times New Roman" w:hAnsi="Arial" w:cs="Arial"/>
          <w:kern w:val="0"/>
          <w:lang w:eastAsia="en-GB"/>
          <w14:ligatures w14:val="none"/>
        </w:rPr>
        <w:t xml:space="preserve"> 2026/107/01 </w:t>
      </w:r>
      <w:r w:rsidRPr="00AD63ED">
        <w:rPr>
          <w:rFonts w:ascii="Arial" w:eastAsia="Times New Roman" w:hAnsi="Arial" w:cs="Arial"/>
          <w:b/>
          <w:bCs/>
          <w:kern w:val="0"/>
          <w:lang w:eastAsia="en-GB"/>
          <w14:ligatures w14:val="none"/>
        </w:rPr>
        <w:t>Designation:</w:t>
      </w:r>
      <w:r w:rsidRPr="00AD63ED">
        <w:rPr>
          <w:rFonts w:ascii="Arial" w:eastAsia="Times New Roman" w:hAnsi="Arial" w:cs="Arial"/>
          <w:kern w:val="0"/>
          <w:lang w:eastAsia="en-GB"/>
          <w14:ligatures w14:val="none"/>
        </w:rPr>
        <w:t xml:space="preserve"> Grade II Listed Building (List Entry 1192941 – Field Head Farmstead) </w:t>
      </w:r>
      <w:r w:rsidRPr="00AD63ED">
        <w:rPr>
          <w:rFonts w:ascii="Arial" w:eastAsia="Times New Roman" w:hAnsi="Arial" w:cs="Arial"/>
          <w:b/>
          <w:bCs/>
          <w:kern w:val="0"/>
          <w:lang w:eastAsia="en-GB"/>
          <w14:ligatures w14:val="none"/>
        </w:rPr>
        <w:t>Applicant:</w:t>
      </w:r>
      <w:r w:rsidRPr="00AD63ED">
        <w:rPr>
          <w:rFonts w:ascii="Arial" w:eastAsia="Times New Roman" w:hAnsi="Arial" w:cs="Arial"/>
          <w:kern w:val="0"/>
          <w:lang w:eastAsia="en-GB"/>
          <w14:ligatures w14:val="none"/>
        </w:rPr>
        <w:t xml:space="preserve"> [Name] </w:t>
      </w:r>
      <w:r w:rsidRPr="00AD63ED">
        <w:rPr>
          <w:rFonts w:ascii="Arial" w:eastAsia="Times New Roman" w:hAnsi="Arial" w:cs="Arial"/>
          <w:b/>
          <w:bCs/>
          <w:kern w:val="0"/>
          <w:lang w:eastAsia="en-GB"/>
          <w14:ligatures w14:val="none"/>
        </w:rPr>
        <w:t>Prepared by:</w:t>
      </w:r>
      <w:r w:rsidRPr="00AD63ED">
        <w:rPr>
          <w:rFonts w:ascii="Arial" w:eastAsia="Times New Roman" w:hAnsi="Arial" w:cs="Arial"/>
          <w:kern w:val="0"/>
          <w:lang w:eastAsia="en-GB"/>
          <w14:ligatures w14:val="none"/>
        </w:rPr>
        <w:t xml:space="preserve"> NYP Architectural Ltd </w:t>
      </w:r>
      <w:r w:rsidRPr="00AD63ED">
        <w:rPr>
          <w:rFonts w:ascii="Arial" w:eastAsia="Times New Roman" w:hAnsi="Arial" w:cs="Arial"/>
          <w:b/>
          <w:bCs/>
          <w:kern w:val="0"/>
          <w:lang w:eastAsia="en-GB"/>
          <w14:ligatures w14:val="none"/>
        </w:rPr>
        <w:t>Date:</w:t>
      </w:r>
      <w:r w:rsidRPr="00AD63ED">
        <w:rPr>
          <w:rFonts w:ascii="Arial" w:eastAsia="Times New Roman" w:hAnsi="Arial" w:cs="Arial"/>
          <w:kern w:val="0"/>
          <w:lang w:eastAsia="en-GB"/>
          <w14:ligatures w14:val="none"/>
        </w:rPr>
        <w:t xml:space="preserve"> August 2026</w:t>
      </w:r>
    </w:p>
    <w:p w14:paraId="07C9DAD0"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1. Introduction</w:t>
      </w:r>
    </w:p>
    <w:p w14:paraId="65DC0C9E"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Government published the latest version of the National Planning Policy Framework (NPPF) in July 2021. Paragraph 194 requires that, when determining applications affecting heritage assets, local planning authorities should ensure that applicants describe the significance of any heritage assets affected, including any contribution made by their setting. The Framework also advises that the level of detail provided should be proportionate to the asset’s importance and no more than is necessary to understand the potential impact of the proposal on its significance.</w:t>
      </w:r>
    </w:p>
    <w:p w14:paraId="45DCE5EF"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This Heritage Statement has therefore been prepared to identify the relevant heritage values associated with the Grade II listed Field Head Farmstead (List Entry 1192941) and to assess the effect of the retrospective works at No. 3 Fieldhead Manor on that significance.</w:t>
      </w:r>
    </w:p>
    <w:p w14:paraId="466DE82D"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2. The Site and Application Proposals</w:t>
      </w:r>
    </w:p>
    <w:p w14:paraId="74B6623D"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application site forms part of a small group of residential dwellings situated in a semi</w:t>
      </w:r>
      <w:r w:rsidRPr="00AD63ED">
        <w:rPr>
          <w:rFonts w:ascii="Arial" w:eastAsia="Times New Roman" w:hAnsi="Arial" w:cs="Arial"/>
          <w:kern w:val="0"/>
          <w:lang w:eastAsia="en-GB"/>
          <w14:ligatures w14:val="none"/>
        </w:rPr>
        <w:noBreakHyphen/>
        <w:t xml:space="preserve">rural location between Silkstone and </w:t>
      </w:r>
      <w:proofErr w:type="spellStart"/>
      <w:r w:rsidRPr="00AD63ED">
        <w:rPr>
          <w:rFonts w:ascii="Arial" w:eastAsia="Times New Roman" w:hAnsi="Arial" w:cs="Arial"/>
          <w:kern w:val="0"/>
          <w:lang w:eastAsia="en-GB"/>
          <w14:ligatures w14:val="none"/>
        </w:rPr>
        <w:t>Dodworth</w:t>
      </w:r>
      <w:proofErr w:type="spellEnd"/>
      <w:r w:rsidRPr="00AD63ED">
        <w:rPr>
          <w:rFonts w:ascii="Arial" w:eastAsia="Times New Roman" w:hAnsi="Arial" w:cs="Arial"/>
          <w:kern w:val="0"/>
          <w:lang w:eastAsia="en-GB"/>
          <w14:ligatures w14:val="none"/>
        </w:rPr>
        <w:t xml:space="preserve">, positioned immediately north of the clubhouse at Silkstone Golf Club. </w:t>
      </w:r>
    </w:p>
    <w:p w14:paraId="0170E4D6" w14:textId="514239F6"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dwellings occupy the former Field Head Farmstead, which is designated as a Grade II listed building. Although now in residential use, the group retains the spatial arrangement, massing, and material palette characteristic of the historic farm complex.</w:t>
      </w:r>
    </w:p>
    <w:p w14:paraId="20E8A01B"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No. 3 Fieldhead Manor occupies a corner position within the attached L</w:t>
      </w:r>
      <w:r w:rsidRPr="00AD63ED">
        <w:rPr>
          <w:rFonts w:ascii="Arial" w:eastAsia="Times New Roman" w:hAnsi="Arial" w:cs="Arial"/>
          <w:kern w:val="0"/>
          <w:lang w:eastAsia="en-GB"/>
          <w14:ligatures w14:val="none"/>
        </w:rPr>
        <w:noBreakHyphen/>
        <w:t>shaped arrangement of buildings and shares party walls with Nos. 2 and 4. The dwelling sits within a coherent cluster of converted and adapted former farm buildings, contributing to the group value and setting of the listed asset.</w:t>
      </w:r>
    </w:p>
    <w:p w14:paraId="63079B17" w14:textId="1752F58A"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property benefits from a sizeable rear garden extending westwards towards the boundary of Silkstone Golf Club, with the garden running parallel to that of No. 2 to the east.</w:t>
      </w:r>
    </w:p>
    <w:p w14:paraId="35D5A7C9" w14:textId="2692C4CD"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retrospective works relate to the erection of a detached outdoor kitchen building within the garden area</w:t>
      </w:r>
      <w:r>
        <w:rPr>
          <w:rFonts w:ascii="Arial" w:eastAsia="Times New Roman" w:hAnsi="Arial" w:cs="Arial"/>
          <w:kern w:val="0"/>
          <w:lang w:eastAsia="en-GB"/>
          <w14:ligatures w14:val="none"/>
        </w:rPr>
        <w:t xml:space="preserve"> adjacent the North Elevation</w:t>
      </w:r>
      <w:r w:rsidRPr="00AD63ED">
        <w:rPr>
          <w:rFonts w:ascii="Arial" w:eastAsia="Times New Roman" w:hAnsi="Arial" w:cs="Arial"/>
          <w:kern w:val="0"/>
          <w:lang w:eastAsia="en-GB"/>
          <w14:ligatures w14:val="none"/>
        </w:rPr>
        <w:t>, described in detail in Section 6.</w:t>
      </w:r>
    </w:p>
    <w:p w14:paraId="48E69BB8"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60929492"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lastRenderedPageBreak/>
        <w:t>3. Planning Policy and Statutory Context</w:t>
      </w:r>
    </w:p>
    <w:p w14:paraId="725A9AF9" w14:textId="77777777" w:rsidR="00AD63ED" w:rsidRPr="00AD63ED" w:rsidRDefault="00AD63ED" w:rsidP="00AD63ED">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D63ED">
        <w:rPr>
          <w:rFonts w:ascii="Arial" w:eastAsia="Times New Roman" w:hAnsi="Arial" w:cs="Arial"/>
          <w:b/>
          <w:bCs/>
          <w:kern w:val="0"/>
          <w:sz w:val="27"/>
          <w:szCs w:val="27"/>
          <w:lang w:eastAsia="en-GB"/>
          <w14:ligatures w14:val="none"/>
        </w:rPr>
        <w:t>3.1 Local Plan Policy HE1 – The Historic Environment</w:t>
      </w:r>
    </w:p>
    <w:p w14:paraId="18F83EEA"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Supports proposals that conserve and enhance the significance and setting of heritage assets.</w:t>
      </w:r>
    </w:p>
    <w:p w14:paraId="0692659D" w14:textId="77777777" w:rsidR="00AD63ED" w:rsidRPr="00AD63ED" w:rsidRDefault="00AD63ED" w:rsidP="00AD63ED">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D63ED">
        <w:rPr>
          <w:rFonts w:ascii="Arial" w:eastAsia="Times New Roman" w:hAnsi="Arial" w:cs="Arial"/>
          <w:b/>
          <w:bCs/>
          <w:kern w:val="0"/>
          <w:sz w:val="27"/>
          <w:szCs w:val="27"/>
          <w:lang w:eastAsia="en-GB"/>
          <w14:ligatures w14:val="none"/>
        </w:rPr>
        <w:t>3.2 Local Plan Policy HE3 – Listed Buildings</w:t>
      </w:r>
    </w:p>
    <w:p w14:paraId="3950D9E7"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Requires additions or alterations to listed buildings to conserve, and where appropriate enhance, their significance.</w:t>
      </w:r>
    </w:p>
    <w:p w14:paraId="6DC450A7" w14:textId="77777777" w:rsidR="00AD63ED" w:rsidRPr="00AD63ED" w:rsidRDefault="00AD63ED" w:rsidP="00AD63ED">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D63ED">
        <w:rPr>
          <w:rFonts w:ascii="Arial" w:eastAsia="Times New Roman" w:hAnsi="Arial" w:cs="Arial"/>
          <w:b/>
          <w:bCs/>
          <w:kern w:val="0"/>
          <w:sz w:val="27"/>
          <w:szCs w:val="27"/>
          <w:lang w:eastAsia="en-GB"/>
          <w14:ligatures w14:val="none"/>
        </w:rPr>
        <w:t xml:space="preserve">3.3 Local Plan Policy D1 – </w:t>
      </w:r>
      <w:proofErr w:type="gramStart"/>
      <w:r w:rsidRPr="00AD63ED">
        <w:rPr>
          <w:rFonts w:ascii="Arial" w:eastAsia="Times New Roman" w:hAnsi="Arial" w:cs="Arial"/>
          <w:b/>
          <w:bCs/>
          <w:kern w:val="0"/>
          <w:sz w:val="27"/>
          <w:szCs w:val="27"/>
          <w:lang w:eastAsia="en-GB"/>
          <w14:ligatures w14:val="none"/>
        </w:rPr>
        <w:t>High Quality</w:t>
      </w:r>
      <w:proofErr w:type="gramEnd"/>
      <w:r w:rsidRPr="00AD63ED">
        <w:rPr>
          <w:rFonts w:ascii="Arial" w:eastAsia="Times New Roman" w:hAnsi="Arial" w:cs="Arial"/>
          <w:b/>
          <w:bCs/>
          <w:kern w:val="0"/>
          <w:sz w:val="27"/>
          <w:szCs w:val="27"/>
          <w:lang w:eastAsia="en-GB"/>
          <w14:ligatures w14:val="none"/>
        </w:rPr>
        <w:t xml:space="preserve"> Design</w:t>
      </w:r>
    </w:p>
    <w:p w14:paraId="1F56F96D"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Requires development to respect and reinforce the distinctive local character of Barnsley.</w:t>
      </w:r>
    </w:p>
    <w:p w14:paraId="66AB8DA8" w14:textId="77777777" w:rsidR="00AD63ED" w:rsidRPr="00AD63ED" w:rsidRDefault="00AD63ED" w:rsidP="00AD63ED">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D63ED">
        <w:rPr>
          <w:rFonts w:ascii="Arial" w:eastAsia="Times New Roman" w:hAnsi="Arial" w:cs="Arial"/>
          <w:b/>
          <w:bCs/>
          <w:kern w:val="0"/>
          <w:sz w:val="27"/>
          <w:szCs w:val="27"/>
          <w:lang w:eastAsia="en-GB"/>
          <w14:ligatures w14:val="none"/>
        </w:rPr>
        <w:t>3.4 NPPF Paragraph 194</w:t>
      </w:r>
    </w:p>
    <w:p w14:paraId="5E6655AC"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Requires applicants to describe the significance of heritage assets affected, proportionate to their importance.</w:t>
      </w:r>
    </w:p>
    <w:p w14:paraId="16F19A0D" w14:textId="77777777" w:rsidR="00AD63ED" w:rsidRPr="00AD63ED" w:rsidRDefault="00AD63ED" w:rsidP="00AD63ED">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AD63ED">
        <w:rPr>
          <w:rFonts w:ascii="Arial" w:eastAsia="Times New Roman" w:hAnsi="Arial" w:cs="Arial"/>
          <w:b/>
          <w:bCs/>
          <w:kern w:val="0"/>
          <w:sz w:val="27"/>
          <w:szCs w:val="27"/>
          <w:lang w:eastAsia="en-GB"/>
          <w14:ligatures w14:val="none"/>
        </w:rPr>
        <w:t>3.5 NPPF Paragraph 199</w:t>
      </w:r>
    </w:p>
    <w:p w14:paraId="4DAFB425"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States that great weight should be given to the conservation of designated heritage assets. Significance can be harmed or lost through alteration or development within their setting.</w:t>
      </w:r>
    </w:p>
    <w:p w14:paraId="4D5B6CD8"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000F0FBD"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698113DF"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299B030A"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65CE8DCA"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00AAD3DE"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5BF1BD86"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0901C597"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111F00D9"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0588FC3D"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689EDDF5"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lastRenderedPageBreak/>
        <w:t>4. Heritage Context</w:t>
      </w:r>
    </w:p>
    <w:p w14:paraId="31B5FD23"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application site forms part of the historic Field Head Farmstead, a group of buildings now collectively known as Fieldhead Manor. The farmstead is designated as a Grade II listed building under Historic England List Entry 1192941, reflecting its architectural, historic, and group value.</w:t>
      </w:r>
    </w:p>
    <w:p w14:paraId="2DBCE83B"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Within this group, </w:t>
      </w:r>
      <w:r w:rsidRPr="00AD63ED">
        <w:rPr>
          <w:rFonts w:ascii="Arial" w:eastAsia="Times New Roman" w:hAnsi="Arial" w:cs="Arial"/>
          <w:b/>
          <w:bCs/>
          <w:kern w:val="0"/>
          <w:lang w:eastAsia="en-GB"/>
          <w14:ligatures w14:val="none"/>
        </w:rPr>
        <w:t>The Granary</w:t>
      </w:r>
      <w:r w:rsidRPr="00AD63ED">
        <w:rPr>
          <w:rFonts w:ascii="Arial" w:eastAsia="Times New Roman" w:hAnsi="Arial" w:cs="Arial"/>
          <w:kern w:val="0"/>
          <w:lang w:eastAsia="en-GB"/>
          <w14:ligatures w14:val="none"/>
        </w:rPr>
        <w:t xml:space="preserve"> (formerly listed as the barn to the north of Field Head Farmhouse) is identified as a Grade II listed building. Historically, the buildings comprised the main farmhouse, cottage, and barn arranged around a functional farmyard.</w:t>
      </w:r>
    </w:p>
    <w:p w14:paraId="4325E1F8"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listing description summarises:</w:t>
      </w:r>
    </w:p>
    <w:p w14:paraId="1F5ACC53"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i/>
          <w:iCs/>
          <w:kern w:val="0"/>
          <w:lang w:eastAsia="en-GB"/>
          <w14:ligatures w14:val="none"/>
        </w:rPr>
        <w:t>Former cruck</w:t>
      </w:r>
      <w:r w:rsidRPr="00AD63ED">
        <w:rPr>
          <w:rFonts w:ascii="Arial" w:eastAsia="Times New Roman" w:hAnsi="Arial" w:cs="Arial"/>
          <w:i/>
          <w:iCs/>
          <w:kern w:val="0"/>
          <w:lang w:eastAsia="en-GB"/>
          <w14:ligatures w14:val="none"/>
        </w:rPr>
        <w:noBreakHyphen/>
        <w:t>frame farm building, now a house. C16 or C17 origin, converted and rebuilt c.1985. Coursed squared stone with tile roof. Two arched entrances and two square windows. Interior retains three cruck trusses, two with extended tie</w:t>
      </w:r>
      <w:r w:rsidRPr="00AD63ED">
        <w:rPr>
          <w:rFonts w:ascii="Arial" w:eastAsia="Times New Roman" w:hAnsi="Arial" w:cs="Arial"/>
          <w:i/>
          <w:iCs/>
          <w:kern w:val="0"/>
          <w:lang w:eastAsia="en-GB"/>
          <w14:ligatures w14:val="none"/>
        </w:rPr>
        <w:noBreakHyphen/>
        <w:t>beams.</w:t>
      </w:r>
    </w:p>
    <w:p w14:paraId="0DA99404" w14:textId="3DA01C8B"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No. 3 Fieldhead Manor lies within the curtilage of the listed farmstead, and its external appearance, materials, and relationship to adjoining buildings form part of the wider setting of the listed asset.</w:t>
      </w:r>
    </w:p>
    <w:p w14:paraId="0BA65AE9"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5. Planning History</w:t>
      </w:r>
    </w:p>
    <w:p w14:paraId="07FA572B"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A review of Barnsley MBC’s records identifies the following relevant applications:</w:t>
      </w:r>
    </w:p>
    <w:p w14:paraId="29EEBAC7"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2022/0839 – Replacement garage doors – </w:t>
      </w:r>
      <w:r w:rsidRPr="00AD63ED">
        <w:rPr>
          <w:rFonts w:ascii="Arial" w:eastAsia="Times New Roman" w:hAnsi="Arial" w:cs="Arial"/>
          <w:b/>
          <w:bCs/>
          <w:kern w:val="0"/>
          <w:lang w:eastAsia="en-GB"/>
          <w14:ligatures w14:val="none"/>
        </w:rPr>
        <w:t>Approved</w:t>
      </w:r>
    </w:p>
    <w:p w14:paraId="567D22A6" w14:textId="317D92F4"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2022/083</w:t>
      </w:r>
      <w:r>
        <w:rPr>
          <w:rFonts w:ascii="Arial" w:eastAsia="Times New Roman" w:hAnsi="Arial" w:cs="Arial"/>
          <w:kern w:val="0"/>
          <w:lang w:eastAsia="en-GB"/>
          <w14:ligatures w14:val="none"/>
        </w:rPr>
        <w:t>8</w:t>
      </w:r>
      <w:r w:rsidRPr="00AD63ED">
        <w:rPr>
          <w:rFonts w:ascii="Arial" w:eastAsia="Times New Roman" w:hAnsi="Arial" w:cs="Arial"/>
          <w:kern w:val="0"/>
          <w:lang w:eastAsia="en-GB"/>
          <w14:ligatures w14:val="none"/>
        </w:rPr>
        <w:t xml:space="preserve"> – </w:t>
      </w:r>
      <w:r>
        <w:rPr>
          <w:rFonts w:ascii="Arial" w:eastAsia="Times New Roman" w:hAnsi="Arial" w:cs="Arial"/>
          <w:kern w:val="0"/>
          <w:lang w:eastAsia="en-GB"/>
          <w14:ligatures w14:val="none"/>
        </w:rPr>
        <w:t xml:space="preserve">LBC </w:t>
      </w:r>
      <w:r w:rsidRPr="00AD63ED">
        <w:rPr>
          <w:rFonts w:ascii="Arial" w:eastAsia="Times New Roman" w:hAnsi="Arial" w:cs="Arial"/>
          <w:kern w:val="0"/>
          <w:lang w:eastAsia="en-GB"/>
          <w14:ligatures w14:val="none"/>
        </w:rPr>
        <w:t xml:space="preserve">Replacement garage doors – </w:t>
      </w:r>
      <w:r w:rsidRPr="00AD63ED">
        <w:rPr>
          <w:rFonts w:ascii="Arial" w:eastAsia="Times New Roman" w:hAnsi="Arial" w:cs="Arial"/>
          <w:b/>
          <w:bCs/>
          <w:kern w:val="0"/>
          <w:lang w:eastAsia="en-GB"/>
          <w14:ligatures w14:val="none"/>
        </w:rPr>
        <w:t>Approved</w:t>
      </w:r>
    </w:p>
    <w:p w14:paraId="468039F0"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2022/0144 – Approval of conditions – </w:t>
      </w:r>
      <w:r w:rsidRPr="00AD63ED">
        <w:rPr>
          <w:rFonts w:ascii="Arial" w:eastAsia="Times New Roman" w:hAnsi="Arial" w:cs="Arial"/>
          <w:b/>
          <w:bCs/>
          <w:kern w:val="0"/>
          <w:lang w:eastAsia="en-GB"/>
          <w14:ligatures w14:val="none"/>
        </w:rPr>
        <w:t>Approved</w:t>
      </w:r>
    </w:p>
    <w:p w14:paraId="403B7744"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2021/1563 – LBC external works – </w:t>
      </w:r>
      <w:r w:rsidRPr="00AD63ED">
        <w:rPr>
          <w:rFonts w:ascii="Arial" w:eastAsia="Times New Roman" w:hAnsi="Arial" w:cs="Arial"/>
          <w:b/>
          <w:bCs/>
          <w:kern w:val="0"/>
          <w:lang w:eastAsia="en-GB"/>
          <w14:ligatures w14:val="none"/>
        </w:rPr>
        <w:t>Approved</w:t>
      </w:r>
    </w:p>
    <w:p w14:paraId="445B45B1"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2021/1377 – LBC replacement garage doors – </w:t>
      </w:r>
      <w:r w:rsidRPr="00AD63ED">
        <w:rPr>
          <w:rFonts w:ascii="Arial" w:eastAsia="Times New Roman" w:hAnsi="Arial" w:cs="Arial"/>
          <w:b/>
          <w:bCs/>
          <w:kern w:val="0"/>
          <w:lang w:eastAsia="en-GB"/>
          <w14:ligatures w14:val="none"/>
        </w:rPr>
        <w:t>Refused</w:t>
      </w:r>
    </w:p>
    <w:p w14:paraId="7C8D76E8"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2021/1244 – Replacement garage doors – </w:t>
      </w:r>
      <w:r w:rsidRPr="00AD63ED">
        <w:rPr>
          <w:rFonts w:ascii="Arial" w:eastAsia="Times New Roman" w:hAnsi="Arial" w:cs="Arial"/>
          <w:b/>
          <w:bCs/>
          <w:kern w:val="0"/>
          <w:lang w:eastAsia="en-GB"/>
          <w14:ligatures w14:val="none"/>
        </w:rPr>
        <w:t>Refused</w:t>
      </w:r>
    </w:p>
    <w:p w14:paraId="5A1799CA"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2021/1258 – LBC erection of fence – </w:t>
      </w:r>
      <w:r w:rsidRPr="00AD63ED">
        <w:rPr>
          <w:rFonts w:ascii="Arial" w:eastAsia="Times New Roman" w:hAnsi="Arial" w:cs="Arial"/>
          <w:b/>
          <w:bCs/>
          <w:kern w:val="0"/>
          <w:lang w:eastAsia="en-GB"/>
          <w14:ligatures w14:val="none"/>
        </w:rPr>
        <w:t>Refused</w:t>
      </w:r>
    </w:p>
    <w:p w14:paraId="5673CFCB"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2012/1075 – Erection of fence – </w:t>
      </w:r>
      <w:r w:rsidRPr="00AD63ED">
        <w:rPr>
          <w:rFonts w:ascii="Arial" w:eastAsia="Times New Roman" w:hAnsi="Arial" w:cs="Arial"/>
          <w:b/>
          <w:bCs/>
          <w:kern w:val="0"/>
          <w:lang w:eastAsia="en-GB"/>
          <w14:ligatures w14:val="none"/>
        </w:rPr>
        <w:t>Refused</w:t>
      </w:r>
    </w:p>
    <w:p w14:paraId="33F790CA"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2020/1455 – Single</w:t>
      </w:r>
      <w:r w:rsidRPr="00AD63ED">
        <w:rPr>
          <w:rFonts w:ascii="Arial" w:eastAsia="Times New Roman" w:hAnsi="Arial" w:cs="Arial"/>
          <w:kern w:val="0"/>
          <w:lang w:eastAsia="en-GB"/>
          <w14:ligatures w14:val="none"/>
        </w:rPr>
        <w:noBreakHyphen/>
        <w:t xml:space="preserve">storey extension – </w:t>
      </w:r>
      <w:r w:rsidRPr="00AD63ED">
        <w:rPr>
          <w:rFonts w:ascii="Arial" w:eastAsia="Times New Roman" w:hAnsi="Arial" w:cs="Arial"/>
          <w:b/>
          <w:bCs/>
          <w:kern w:val="0"/>
          <w:lang w:eastAsia="en-GB"/>
          <w14:ligatures w14:val="none"/>
        </w:rPr>
        <w:t>Approved</w:t>
      </w:r>
    </w:p>
    <w:p w14:paraId="3B7A5A64" w14:textId="77777777"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2020/1460 – LBC single</w:t>
      </w:r>
      <w:r w:rsidRPr="00AD63ED">
        <w:rPr>
          <w:rFonts w:ascii="Arial" w:eastAsia="Times New Roman" w:hAnsi="Arial" w:cs="Arial"/>
          <w:kern w:val="0"/>
          <w:lang w:eastAsia="en-GB"/>
          <w14:ligatures w14:val="none"/>
        </w:rPr>
        <w:noBreakHyphen/>
        <w:t xml:space="preserve">storey extension – </w:t>
      </w:r>
      <w:r w:rsidRPr="00AD63ED">
        <w:rPr>
          <w:rFonts w:ascii="Arial" w:eastAsia="Times New Roman" w:hAnsi="Arial" w:cs="Arial"/>
          <w:b/>
          <w:bCs/>
          <w:kern w:val="0"/>
          <w:lang w:eastAsia="en-GB"/>
          <w14:ligatures w14:val="none"/>
        </w:rPr>
        <w:t>Approved</w:t>
      </w:r>
    </w:p>
    <w:p w14:paraId="3FFA420F" w14:textId="4AB09068"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82/1815     -- Conversion 5no Dwellings – </w:t>
      </w:r>
      <w:r w:rsidRPr="00AD63ED">
        <w:rPr>
          <w:rFonts w:ascii="Arial" w:eastAsia="Times New Roman" w:hAnsi="Arial" w:cs="Arial"/>
          <w:b/>
          <w:bCs/>
          <w:kern w:val="0"/>
          <w:lang w:eastAsia="en-GB"/>
          <w14:ligatures w14:val="none"/>
        </w:rPr>
        <w:t>Refused</w:t>
      </w:r>
    </w:p>
    <w:p w14:paraId="4FC729E7" w14:textId="1EC5BFF0" w:rsidR="00AD63ED" w:rsidRPr="00AD63ED" w:rsidRDefault="00AD63ED" w:rsidP="00AD63ED">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82/1814</w:t>
      </w:r>
      <w:r>
        <w:rPr>
          <w:rFonts w:ascii="Arial" w:eastAsia="Times New Roman" w:hAnsi="Arial" w:cs="Arial"/>
          <w:b/>
          <w:bCs/>
          <w:kern w:val="0"/>
          <w:lang w:eastAsia="en-GB"/>
          <w14:ligatures w14:val="none"/>
        </w:rPr>
        <w:t xml:space="preserve">     </w:t>
      </w:r>
      <w:r>
        <w:rPr>
          <w:rFonts w:ascii="Arial" w:eastAsia="Times New Roman" w:hAnsi="Arial" w:cs="Arial"/>
          <w:kern w:val="0"/>
          <w:lang w:eastAsia="en-GB"/>
          <w14:ligatures w14:val="none"/>
        </w:rPr>
        <w:t>--</w:t>
      </w:r>
      <w:r>
        <w:rPr>
          <w:rFonts w:ascii="Arial" w:eastAsia="Times New Roman" w:hAnsi="Arial" w:cs="Arial"/>
          <w:kern w:val="0"/>
          <w:lang w:eastAsia="en-GB"/>
          <w14:ligatures w14:val="none"/>
        </w:rPr>
        <w:t xml:space="preserve"> Conversion 5no Dwellings – </w:t>
      </w:r>
      <w:r w:rsidRPr="00AD63ED">
        <w:rPr>
          <w:rFonts w:ascii="Arial" w:eastAsia="Times New Roman" w:hAnsi="Arial" w:cs="Arial"/>
          <w:b/>
          <w:bCs/>
          <w:kern w:val="0"/>
          <w:lang w:eastAsia="en-GB"/>
          <w14:ligatures w14:val="none"/>
        </w:rPr>
        <w:t>Refused</w:t>
      </w:r>
    </w:p>
    <w:p w14:paraId="5FEA9354"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This history demonstrates the sensitivity of the listed farmstead to external alterations.</w:t>
      </w:r>
    </w:p>
    <w:p w14:paraId="7135AACB"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3EF44946"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25B2D152" w14:textId="77777777" w:rsid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79D7CA8F"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p>
    <w:p w14:paraId="4522F806"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lastRenderedPageBreak/>
        <w:t>6. Proposed Works</w:t>
      </w:r>
    </w:p>
    <w:p w14:paraId="679A9EF3" w14:textId="77777777" w:rsidR="00F37042"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proposed works comprise the erection of a </w:t>
      </w:r>
      <w:r w:rsidRPr="00AD63ED">
        <w:rPr>
          <w:rFonts w:ascii="Arial" w:eastAsia="Times New Roman" w:hAnsi="Arial" w:cs="Arial"/>
          <w:b/>
          <w:bCs/>
          <w:kern w:val="0"/>
          <w:lang w:eastAsia="en-GB"/>
          <w14:ligatures w14:val="none"/>
        </w:rPr>
        <w:t>detached outdoor kitchen building</w:t>
      </w:r>
      <w:r w:rsidRPr="00AD63ED">
        <w:rPr>
          <w:rFonts w:ascii="Arial" w:eastAsia="Times New Roman" w:hAnsi="Arial" w:cs="Arial"/>
          <w:kern w:val="0"/>
          <w:lang w:eastAsia="en-GB"/>
          <w14:ligatures w14:val="none"/>
        </w:rPr>
        <w:t xml:space="preserve"> positioned adjacent to the </w:t>
      </w:r>
      <w:r w:rsidRPr="00AD63ED">
        <w:rPr>
          <w:rFonts w:ascii="Arial" w:eastAsia="Times New Roman" w:hAnsi="Arial" w:cs="Arial"/>
          <w:b/>
          <w:bCs/>
          <w:kern w:val="0"/>
          <w:lang w:eastAsia="en-GB"/>
          <w14:ligatures w14:val="none"/>
        </w:rPr>
        <w:t>north elevation</w:t>
      </w:r>
      <w:r w:rsidRPr="00AD63ED">
        <w:rPr>
          <w:rFonts w:ascii="Arial" w:eastAsia="Times New Roman" w:hAnsi="Arial" w:cs="Arial"/>
          <w:kern w:val="0"/>
          <w:lang w:eastAsia="en-GB"/>
          <w14:ligatures w14:val="none"/>
        </w:rPr>
        <w:t xml:space="preserve"> of No. 3 Fieldhead Manor, within the existing garden area. </w:t>
      </w:r>
    </w:p>
    <w:p w14:paraId="6991D758" w14:textId="54A56182"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structure measures </w:t>
      </w:r>
      <w:r w:rsidRPr="00AD63ED">
        <w:rPr>
          <w:rFonts w:ascii="Arial" w:eastAsia="Times New Roman" w:hAnsi="Arial" w:cs="Arial"/>
          <w:b/>
          <w:bCs/>
          <w:kern w:val="0"/>
          <w:lang w:eastAsia="en-GB"/>
          <w14:ligatures w14:val="none"/>
        </w:rPr>
        <w:t>3.3m x 5.0m</w:t>
      </w:r>
      <w:r w:rsidRPr="00AD63ED">
        <w:rPr>
          <w:rFonts w:ascii="Arial" w:eastAsia="Times New Roman" w:hAnsi="Arial" w:cs="Arial"/>
          <w:kern w:val="0"/>
          <w:lang w:eastAsia="en-GB"/>
          <w14:ligatures w14:val="none"/>
        </w:rPr>
        <w:t xml:space="preserve">, with a maximum height of </w:t>
      </w:r>
      <w:r w:rsidRPr="00AD63ED">
        <w:rPr>
          <w:rFonts w:ascii="Arial" w:eastAsia="Times New Roman" w:hAnsi="Arial" w:cs="Arial"/>
          <w:b/>
          <w:bCs/>
          <w:kern w:val="0"/>
          <w:lang w:eastAsia="en-GB"/>
          <w14:ligatures w14:val="none"/>
        </w:rPr>
        <w:t>3.5m</w:t>
      </w:r>
      <w:r w:rsidRPr="00AD63ED">
        <w:rPr>
          <w:rFonts w:ascii="Arial" w:eastAsia="Times New Roman" w:hAnsi="Arial" w:cs="Arial"/>
          <w:kern w:val="0"/>
          <w:lang w:eastAsia="en-GB"/>
          <w14:ligatures w14:val="none"/>
        </w:rPr>
        <w:t xml:space="preserve">, and is positioned </w:t>
      </w:r>
      <w:r w:rsidRPr="00AD63ED">
        <w:rPr>
          <w:rFonts w:ascii="Arial" w:eastAsia="Times New Roman" w:hAnsi="Arial" w:cs="Arial"/>
          <w:b/>
          <w:bCs/>
          <w:kern w:val="0"/>
          <w:lang w:eastAsia="en-GB"/>
          <w14:ligatures w14:val="none"/>
        </w:rPr>
        <w:t>1.9m away</w:t>
      </w:r>
      <w:r w:rsidRPr="00AD63ED">
        <w:rPr>
          <w:rFonts w:ascii="Arial" w:eastAsia="Times New Roman" w:hAnsi="Arial" w:cs="Arial"/>
          <w:kern w:val="0"/>
          <w:lang w:eastAsia="en-GB"/>
          <w14:ligatures w14:val="none"/>
        </w:rPr>
        <w:t xml:space="preserve"> from the listed building.</w:t>
      </w:r>
    </w:p>
    <w:p w14:paraId="1AFF2AA8"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Construction has commenced without Listed Building Consent and has progressed to </w:t>
      </w:r>
      <w:r w:rsidRPr="00AD63ED">
        <w:rPr>
          <w:rFonts w:ascii="Arial" w:eastAsia="Times New Roman" w:hAnsi="Arial" w:cs="Arial"/>
          <w:b/>
          <w:bCs/>
          <w:kern w:val="0"/>
          <w:lang w:eastAsia="en-GB"/>
          <w14:ligatures w14:val="none"/>
        </w:rPr>
        <w:t>wall</w:t>
      </w:r>
      <w:r w:rsidRPr="00AD63ED">
        <w:rPr>
          <w:rFonts w:ascii="Arial" w:eastAsia="Times New Roman" w:hAnsi="Arial" w:cs="Arial"/>
          <w:b/>
          <w:bCs/>
          <w:kern w:val="0"/>
          <w:lang w:eastAsia="en-GB"/>
          <w14:ligatures w14:val="none"/>
        </w:rPr>
        <w:noBreakHyphen/>
        <w:t>plate level</w:t>
      </w:r>
      <w:r w:rsidRPr="00AD63ED">
        <w:rPr>
          <w:rFonts w:ascii="Arial" w:eastAsia="Times New Roman" w:hAnsi="Arial" w:cs="Arial"/>
          <w:kern w:val="0"/>
          <w:lang w:eastAsia="en-GB"/>
          <w14:ligatures w14:val="none"/>
        </w:rPr>
        <w:t xml:space="preserve"> only. The garden benefits from established planting and screening, helping to visually contain the development.</w:t>
      </w:r>
    </w:p>
    <w:p w14:paraId="4A1420C9"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proposal is detailed on </w:t>
      </w:r>
      <w:r w:rsidRPr="00AD63ED">
        <w:rPr>
          <w:rFonts w:ascii="Arial" w:eastAsia="Times New Roman" w:hAnsi="Arial" w:cs="Arial"/>
          <w:b/>
          <w:bCs/>
          <w:kern w:val="0"/>
          <w:lang w:eastAsia="en-GB"/>
          <w14:ligatures w14:val="none"/>
        </w:rPr>
        <w:t>Drawing Ref: 2026/107/01</w:t>
      </w:r>
      <w:r w:rsidRPr="00AD63ED">
        <w:rPr>
          <w:rFonts w:ascii="Arial" w:eastAsia="Times New Roman" w:hAnsi="Arial" w:cs="Arial"/>
          <w:kern w:val="0"/>
          <w:lang w:eastAsia="en-GB"/>
          <w14:ligatures w14:val="none"/>
        </w:rPr>
        <w:t>.</w:t>
      </w:r>
    </w:p>
    <w:p w14:paraId="013A89E1"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7. Heritage Impact Assessment</w:t>
      </w:r>
    </w:p>
    <w:p w14:paraId="3DC81B76"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structure is modest, detached, and positioned 1.9m from the listed building, ensuring no physical impact on historic fabric. Its footprint and height remain subordinate to the main building group, preserving the legibility of the historic L</w:t>
      </w:r>
      <w:r w:rsidRPr="00AD63ED">
        <w:rPr>
          <w:rFonts w:ascii="Arial" w:eastAsia="Times New Roman" w:hAnsi="Arial" w:cs="Arial"/>
          <w:kern w:val="0"/>
          <w:lang w:eastAsia="en-GB"/>
          <w14:ligatures w14:val="none"/>
        </w:rPr>
        <w:noBreakHyphen/>
        <w:t>shaped farmstead layout.</w:t>
      </w:r>
    </w:p>
    <w:p w14:paraId="40D2437A"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garden location benefits from established planting and boundary screening, reducing visibility from key viewpoints and limiting any impact on the setting of the listed asset.</w:t>
      </w:r>
    </w:p>
    <w:p w14:paraId="5D737ACE"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use of </w:t>
      </w:r>
      <w:r w:rsidRPr="00AD63ED">
        <w:rPr>
          <w:rFonts w:ascii="Arial" w:eastAsia="Times New Roman" w:hAnsi="Arial" w:cs="Arial"/>
          <w:b/>
          <w:bCs/>
          <w:kern w:val="0"/>
          <w:lang w:eastAsia="en-GB"/>
          <w14:ligatures w14:val="none"/>
        </w:rPr>
        <w:t>natural sandstone walls</w:t>
      </w:r>
      <w:r w:rsidRPr="00AD63ED">
        <w:rPr>
          <w:rFonts w:ascii="Arial" w:eastAsia="Times New Roman" w:hAnsi="Arial" w:cs="Arial"/>
          <w:kern w:val="0"/>
          <w:lang w:eastAsia="en-GB"/>
          <w14:ligatures w14:val="none"/>
        </w:rPr>
        <w:t xml:space="preserve"> and a </w:t>
      </w:r>
      <w:r w:rsidRPr="00AD63ED">
        <w:rPr>
          <w:rFonts w:ascii="Arial" w:eastAsia="Times New Roman" w:hAnsi="Arial" w:cs="Arial"/>
          <w:b/>
          <w:bCs/>
          <w:kern w:val="0"/>
          <w:lang w:eastAsia="en-GB"/>
          <w14:ligatures w14:val="none"/>
        </w:rPr>
        <w:t>natural slate roof</w:t>
      </w:r>
      <w:r w:rsidRPr="00AD63ED">
        <w:rPr>
          <w:rFonts w:ascii="Arial" w:eastAsia="Times New Roman" w:hAnsi="Arial" w:cs="Arial"/>
          <w:kern w:val="0"/>
          <w:lang w:eastAsia="en-GB"/>
          <w14:ligatures w14:val="none"/>
        </w:rPr>
        <w:t xml:space="preserve"> </w:t>
      </w:r>
      <w:proofErr w:type="gramStart"/>
      <w:r w:rsidRPr="00AD63ED">
        <w:rPr>
          <w:rFonts w:ascii="Arial" w:eastAsia="Times New Roman" w:hAnsi="Arial" w:cs="Arial"/>
          <w:kern w:val="0"/>
          <w:lang w:eastAsia="en-GB"/>
          <w14:ligatures w14:val="none"/>
        </w:rPr>
        <w:t>ensures</w:t>
      </w:r>
      <w:proofErr w:type="gramEnd"/>
      <w:r w:rsidRPr="00AD63ED">
        <w:rPr>
          <w:rFonts w:ascii="Arial" w:eastAsia="Times New Roman" w:hAnsi="Arial" w:cs="Arial"/>
          <w:kern w:val="0"/>
          <w:lang w:eastAsia="en-GB"/>
          <w14:ligatures w14:val="none"/>
        </w:rPr>
        <w:t xml:space="preserve"> full compatibility with the vernacular character of Field Head Farm. These materials match the existing listed building group and avoid introducing incongruous modern finishes.</w:t>
      </w:r>
    </w:p>
    <w:p w14:paraId="323B28B9"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works undertaken to date are reversible and have not resulted in loss of historic fabric.</w:t>
      </w:r>
    </w:p>
    <w:p w14:paraId="22960CA9"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8. Materials</w:t>
      </w:r>
    </w:p>
    <w:p w14:paraId="717085DC" w14:textId="77777777" w:rsidR="00AD63ED" w:rsidRPr="00AD63ED" w:rsidRDefault="00AD63ED" w:rsidP="00AD63ED">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b/>
          <w:bCs/>
          <w:kern w:val="0"/>
          <w:lang w:eastAsia="en-GB"/>
          <w14:ligatures w14:val="none"/>
        </w:rPr>
        <w:t>Walls:</w:t>
      </w:r>
      <w:r w:rsidRPr="00AD63ED">
        <w:rPr>
          <w:rFonts w:ascii="Arial" w:eastAsia="Times New Roman" w:hAnsi="Arial" w:cs="Arial"/>
          <w:kern w:val="0"/>
          <w:lang w:eastAsia="en-GB"/>
          <w14:ligatures w14:val="none"/>
        </w:rPr>
        <w:t xml:space="preserve"> Natural sandstone, coursed and dressed to match existing farmstead masonry.</w:t>
      </w:r>
    </w:p>
    <w:p w14:paraId="04CC3A4B" w14:textId="77777777" w:rsidR="00AD63ED" w:rsidRPr="00AD63ED" w:rsidRDefault="00AD63ED" w:rsidP="00AD63ED">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b/>
          <w:bCs/>
          <w:kern w:val="0"/>
          <w:lang w:eastAsia="en-GB"/>
          <w14:ligatures w14:val="none"/>
        </w:rPr>
        <w:t>Roof:</w:t>
      </w:r>
      <w:r w:rsidRPr="00AD63ED">
        <w:rPr>
          <w:rFonts w:ascii="Arial" w:eastAsia="Times New Roman" w:hAnsi="Arial" w:cs="Arial"/>
          <w:kern w:val="0"/>
          <w:lang w:eastAsia="en-GB"/>
          <w14:ligatures w14:val="none"/>
        </w:rPr>
        <w:t xml:space="preserve"> Natural slate, consistent with traditional roofing across the listed group.</w:t>
      </w:r>
    </w:p>
    <w:p w14:paraId="29E4FBFB" w14:textId="77777777" w:rsidR="00AD63ED" w:rsidRDefault="00AD63ED" w:rsidP="00AD63ED">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b/>
          <w:bCs/>
          <w:kern w:val="0"/>
          <w:lang w:eastAsia="en-GB"/>
          <w14:ligatures w14:val="none"/>
        </w:rPr>
        <w:t>Detailing:</w:t>
      </w:r>
      <w:r w:rsidRPr="00AD63ED">
        <w:rPr>
          <w:rFonts w:ascii="Arial" w:eastAsia="Times New Roman" w:hAnsi="Arial" w:cs="Arial"/>
          <w:kern w:val="0"/>
          <w:lang w:eastAsia="en-GB"/>
          <w14:ligatures w14:val="none"/>
        </w:rPr>
        <w:t xml:space="preserve"> Timber elements finished in a traditional style appropriate to the heritage context.</w:t>
      </w:r>
    </w:p>
    <w:p w14:paraId="3305EE6B" w14:textId="77777777" w:rsidR="00F37042" w:rsidRDefault="00F37042" w:rsidP="00F37042">
      <w:pPr>
        <w:spacing w:before="100" w:beforeAutospacing="1" w:after="100" w:afterAutospacing="1" w:line="240" w:lineRule="auto"/>
        <w:rPr>
          <w:rFonts w:ascii="Arial" w:eastAsia="Times New Roman" w:hAnsi="Arial" w:cs="Arial"/>
          <w:kern w:val="0"/>
          <w:lang w:eastAsia="en-GB"/>
          <w14:ligatures w14:val="none"/>
        </w:rPr>
      </w:pPr>
    </w:p>
    <w:p w14:paraId="3CFB190B" w14:textId="77777777" w:rsidR="00F37042" w:rsidRDefault="00F37042" w:rsidP="00F37042">
      <w:pPr>
        <w:spacing w:before="100" w:beforeAutospacing="1" w:after="100" w:afterAutospacing="1" w:line="240" w:lineRule="auto"/>
        <w:rPr>
          <w:rFonts w:ascii="Arial" w:eastAsia="Times New Roman" w:hAnsi="Arial" w:cs="Arial"/>
          <w:kern w:val="0"/>
          <w:lang w:eastAsia="en-GB"/>
          <w14:ligatures w14:val="none"/>
        </w:rPr>
      </w:pPr>
    </w:p>
    <w:p w14:paraId="015F367A" w14:textId="77777777" w:rsidR="00F37042" w:rsidRPr="00AD63ED" w:rsidRDefault="00F37042" w:rsidP="00F37042">
      <w:pPr>
        <w:spacing w:before="100" w:beforeAutospacing="1" w:after="100" w:afterAutospacing="1" w:line="240" w:lineRule="auto"/>
        <w:rPr>
          <w:rFonts w:ascii="Arial" w:eastAsia="Times New Roman" w:hAnsi="Arial" w:cs="Arial"/>
          <w:kern w:val="0"/>
          <w:lang w:eastAsia="en-GB"/>
          <w14:ligatures w14:val="none"/>
        </w:rPr>
      </w:pPr>
    </w:p>
    <w:p w14:paraId="50A39084"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lastRenderedPageBreak/>
        <w:t>9. Assessment of Harm</w:t>
      </w:r>
    </w:p>
    <w:p w14:paraId="2DEC0AF8"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proposal results in </w:t>
      </w:r>
      <w:r w:rsidRPr="00AD63ED">
        <w:rPr>
          <w:rFonts w:ascii="Arial" w:eastAsia="Times New Roman" w:hAnsi="Arial" w:cs="Arial"/>
          <w:b/>
          <w:bCs/>
          <w:kern w:val="0"/>
          <w:lang w:eastAsia="en-GB"/>
          <w14:ligatures w14:val="none"/>
        </w:rPr>
        <w:t>no harm</w:t>
      </w:r>
      <w:r w:rsidRPr="00AD63ED">
        <w:rPr>
          <w:rFonts w:ascii="Arial" w:eastAsia="Times New Roman" w:hAnsi="Arial" w:cs="Arial"/>
          <w:kern w:val="0"/>
          <w:lang w:eastAsia="en-GB"/>
          <w14:ligatures w14:val="none"/>
        </w:rPr>
        <w:t xml:space="preserve"> to the significance of the listed building or its setting because:</w:t>
      </w:r>
    </w:p>
    <w:p w14:paraId="536D9EF7" w14:textId="77777777" w:rsidR="00AD63ED" w:rsidRPr="00AD63ED" w:rsidRDefault="00AD63ED" w:rsidP="00AD63ED">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structure is </w:t>
      </w:r>
      <w:r w:rsidRPr="00AD63ED">
        <w:rPr>
          <w:rFonts w:ascii="Arial" w:eastAsia="Times New Roman" w:hAnsi="Arial" w:cs="Arial"/>
          <w:b/>
          <w:bCs/>
          <w:kern w:val="0"/>
          <w:lang w:eastAsia="en-GB"/>
          <w14:ligatures w14:val="none"/>
        </w:rPr>
        <w:t>detached</w:t>
      </w:r>
      <w:r w:rsidRPr="00AD63ED">
        <w:rPr>
          <w:rFonts w:ascii="Arial" w:eastAsia="Times New Roman" w:hAnsi="Arial" w:cs="Arial"/>
          <w:kern w:val="0"/>
          <w:lang w:eastAsia="en-GB"/>
          <w14:ligatures w14:val="none"/>
        </w:rPr>
        <w:t xml:space="preserve"> and set </w:t>
      </w:r>
      <w:r w:rsidRPr="00AD63ED">
        <w:rPr>
          <w:rFonts w:ascii="Arial" w:eastAsia="Times New Roman" w:hAnsi="Arial" w:cs="Arial"/>
          <w:b/>
          <w:bCs/>
          <w:kern w:val="0"/>
          <w:lang w:eastAsia="en-GB"/>
          <w14:ligatures w14:val="none"/>
        </w:rPr>
        <w:t>1.9m away</w:t>
      </w:r>
      <w:r w:rsidRPr="00AD63ED">
        <w:rPr>
          <w:rFonts w:ascii="Arial" w:eastAsia="Times New Roman" w:hAnsi="Arial" w:cs="Arial"/>
          <w:kern w:val="0"/>
          <w:lang w:eastAsia="en-GB"/>
          <w14:ligatures w14:val="none"/>
        </w:rPr>
        <w:t xml:space="preserve"> from historic fabric.</w:t>
      </w:r>
    </w:p>
    <w:p w14:paraId="2F783F86" w14:textId="77777777" w:rsidR="00AD63ED" w:rsidRPr="00AD63ED" w:rsidRDefault="00AD63ED" w:rsidP="00AD63ED">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scale (3.3m x 5m, 3.5m high) is </w:t>
      </w:r>
      <w:r w:rsidRPr="00AD63ED">
        <w:rPr>
          <w:rFonts w:ascii="Arial" w:eastAsia="Times New Roman" w:hAnsi="Arial" w:cs="Arial"/>
          <w:b/>
          <w:bCs/>
          <w:kern w:val="0"/>
          <w:lang w:eastAsia="en-GB"/>
          <w14:ligatures w14:val="none"/>
        </w:rPr>
        <w:t>modest and subordinate</w:t>
      </w:r>
      <w:r w:rsidRPr="00AD63ED">
        <w:rPr>
          <w:rFonts w:ascii="Arial" w:eastAsia="Times New Roman" w:hAnsi="Arial" w:cs="Arial"/>
          <w:kern w:val="0"/>
          <w:lang w:eastAsia="en-GB"/>
          <w14:ligatures w14:val="none"/>
        </w:rPr>
        <w:t>.</w:t>
      </w:r>
    </w:p>
    <w:p w14:paraId="3329D0B2" w14:textId="77777777" w:rsidR="00AD63ED" w:rsidRPr="00AD63ED" w:rsidRDefault="00AD63ED" w:rsidP="00AD63ED">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garden location is </w:t>
      </w:r>
      <w:r w:rsidRPr="00AD63ED">
        <w:rPr>
          <w:rFonts w:ascii="Arial" w:eastAsia="Times New Roman" w:hAnsi="Arial" w:cs="Arial"/>
          <w:b/>
          <w:bCs/>
          <w:kern w:val="0"/>
          <w:lang w:eastAsia="en-GB"/>
          <w14:ligatures w14:val="none"/>
        </w:rPr>
        <w:t>screened</w:t>
      </w:r>
      <w:r w:rsidRPr="00AD63ED">
        <w:rPr>
          <w:rFonts w:ascii="Arial" w:eastAsia="Times New Roman" w:hAnsi="Arial" w:cs="Arial"/>
          <w:kern w:val="0"/>
          <w:lang w:eastAsia="en-GB"/>
          <w14:ligatures w14:val="none"/>
        </w:rPr>
        <w:t xml:space="preserve"> and visually contained.</w:t>
      </w:r>
    </w:p>
    <w:p w14:paraId="66380E69" w14:textId="77777777" w:rsidR="00AD63ED" w:rsidRPr="00AD63ED" w:rsidRDefault="00AD63ED" w:rsidP="00AD63ED">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Materials </w:t>
      </w:r>
      <w:r w:rsidRPr="00AD63ED">
        <w:rPr>
          <w:rFonts w:ascii="Arial" w:eastAsia="Times New Roman" w:hAnsi="Arial" w:cs="Arial"/>
          <w:b/>
          <w:bCs/>
          <w:kern w:val="0"/>
          <w:lang w:eastAsia="en-GB"/>
          <w14:ligatures w14:val="none"/>
        </w:rPr>
        <w:t>match the existing listed building group</w:t>
      </w:r>
      <w:r w:rsidRPr="00AD63ED">
        <w:rPr>
          <w:rFonts w:ascii="Arial" w:eastAsia="Times New Roman" w:hAnsi="Arial" w:cs="Arial"/>
          <w:kern w:val="0"/>
          <w:lang w:eastAsia="en-GB"/>
          <w14:ligatures w14:val="none"/>
        </w:rPr>
        <w:t>.</w:t>
      </w:r>
    </w:p>
    <w:p w14:paraId="0F8DB281" w14:textId="77777777" w:rsidR="00AD63ED" w:rsidRPr="00AD63ED" w:rsidRDefault="00AD63ED" w:rsidP="00AD63ED">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historic farmstead layout remains fully legible.</w:t>
      </w:r>
    </w:p>
    <w:p w14:paraId="4A05C8F8" w14:textId="77777777" w:rsidR="00AD63ED" w:rsidRPr="00AD63ED" w:rsidRDefault="00AD63ED" w:rsidP="00AD63ED">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works are </w:t>
      </w:r>
      <w:r w:rsidRPr="00AD63ED">
        <w:rPr>
          <w:rFonts w:ascii="Arial" w:eastAsia="Times New Roman" w:hAnsi="Arial" w:cs="Arial"/>
          <w:b/>
          <w:bCs/>
          <w:kern w:val="0"/>
          <w:lang w:eastAsia="en-GB"/>
          <w14:ligatures w14:val="none"/>
        </w:rPr>
        <w:t>reversible</w:t>
      </w:r>
      <w:r w:rsidRPr="00AD63ED">
        <w:rPr>
          <w:rFonts w:ascii="Arial" w:eastAsia="Times New Roman" w:hAnsi="Arial" w:cs="Arial"/>
          <w:kern w:val="0"/>
          <w:lang w:eastAsia="en-GB"/>
          <w14:ligatures w14:val="none"/>
        </w:rPr>
        <w:t>.</w:t>
      </w:r>
    </w:p>
    <w:p w14:paraId="5AFB9E38"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If any impact is considered, it would fall within </w:t>
      </w:r>
      <w:r w:rsidRPr="00AD63ED">
        <w:rPr>
          <w:rFonts w:ascii="Arial" w:eastAsia="Times New Roman" w:hAnsi="Arial" w:cs="Arial"/>
          <w:b/>
          <w:bCs/>
          <w:kern w:val="0"/>
          <w:lang w:eastAsia="en-GB"/>
          <w14:ligatures w14:val="none"/>
        </w:rPr>
        <w:t>“less than substantial harm” at the lowest end</w:t>
      </w:r>
      <w:r w:rsidRPr="00AD63ED">
        <w:rPr>
          <w:rFonts w:ascii="Arial" w:eastAsia="Times New Roman" w:hAnsi="Arial" w:cs="Arial"/>
          <w:kern w:val="0"/>
          <w:lang w:eastAsia="en-GB"/>
          <w14:ligatures w14:val="none"/>
        </w:rPr>
        <w:t>, fully mitigated by sympathetic design and materials.</w:t>
      </w:r>
    </w:p>
    <w:p w14:paraId="01F1B92B"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10. Justification</w:t>
      </w:r>
    </w:p>
    <w:p w14:paraId="31594C89"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proposal is justified because:</w:t>
      </w:r>
    </w:p>
    <w:p w14:paraId="49D9FA2A" w14:textId="77777777" w:rsidR="00AD63ED" w:rsidRPr="00AD63ED" w:rsidRDefault="00AD63ED" w:rsidP="00AD63ED">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It is domestic, modest, and subordinate.</w:t>
      </w:r>
    </w:p>
    <w:p w14:paraId="4A5EF84C" w14:textId="77777777" w:rsidR="00AD63ED" w:rsidRPr="00AD63ED" w:rsidRDefault="00AD63ED" w:rsidP="00AD63ED">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It uses matching natural materials (stone and slate).</w:t>
      </w:r>
    </w:p>
    <w:p w14:paraId="386849AF" w14:textId="77777777" w:rsidR="00AD63ED" w:rsidRPr="00AD63ED" w:rsidRDefault="00AD63ED" w:rsidP="00AD63ED">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It is detached and reversible.</w:t>
      </w:r>
    </w:p>
    <w:p w14:paraId="13DFA2C2" w14:textId="77777777" w:rsidR="00AD63ED" w:rsidRPr="00AD63ED" w:rsidRDefault="00AD63ED" w:rsidP="00AD63ED">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It preserves the setting and historic layout.</w:t>
      </w:r>
    </w:p>
    <w:p w14:paraId="05739A56" w14:textId="77777777" w:rsidR="00AD63ED" w:rsidRPr="00AD63ED" w:rsidRDefault="00AD63ED" w:rsidP="00AD63ED">
      <w:pPr>
        <w:numPr>
          <w:ilvl w:val="0"/>
          <w:numId w:val="4"/>
        </w:num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It supports the continued viable residential use of the property, a recognised public benefit under the NPPF.</w:t>
      </w:r>
    </w:p>
    <w:p w14:paraId="3EF48F03"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Any minimal harm is outweighed by the careful design and preservation of significance, in accordance with NPPF Paragraphs 200–208.</w:t>
      </w:r>
    </w:p>
    <w:p w14:paraId="471F41A7" w14:textId="77777777" w:rsidR="00AD63ED" w:rsidRPr="00AD63ED" w:rsidRDefault="00AD63ED" w:rsidP="00AD63ED">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AD63ED">
        <w:rPr>
          <w:rFonts w:ascii="Arial" w:eastAsia="Times New Roman" w:hAnsi="Arial" w:cs="Arial"/>
          <w:b/>
          <w:bCs/>
          <w:kern w:val="0"/>
          <w:sz w:val="36"/>
          <w:szCs w:val="36"/>
          <w:lang w:eastAsia="en-GB"/>
          <w14:ligatures w14:val="none"/>
        </w:rPr>
        <w:t>11. Conclusion</w:t>
      </w:r>
    </w:p>
    <w:p w14:paraId="15267C29"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The proposed outdoor kitchen building has been designed and sited to respect the architectural and historic significance of the Grade II listed Field Head Farmstead. Its modest dimensions, sympathetic materials, and screened garden location ensure that it remains subordinate and does not harm the listed building or its setting.</w:t>
      </w:r>
    </w:p>
    <w:p w14:paraId="0075F83B" w14:textId="77777777" w:rsidR="00AD63ED" w:rsidRPr="00AD63ED" w:rsidRDefault="00AD63ED" w:rsidP="00AD63ED">
      <w:pPr>
        <w:spacing w:before="100" w:beforeAutospacing="1" w:after="100" w:afterAutospacing="1" w:line="240" w:lineRule="auto"/>
        <w:rPr>
          <w:rFonts w:ascii="Arial" w:eastAsia="Times New Roman" w:hAnsi="Arial" w:cs="Arial"/>
          <w:kern w:val="0"/>
          <w:lang w:eastAsia="en-GB"/>
          <w14:ligatures w14:val="none"/>
        </w:rPr>
      </w:pPr>
      <w:r w:rsidRPr="00AD63ED">
        <w:rPr>
          <w:rFonts w:ascii="Arial" w:eastAsia="Times New Roman" w:hAnsi="Arial" w:cs="Arial"/>
          <w:kern w:val="0"/>
          <w:lang w:eastAsia="en-GB"/>
          <w14:ligatures w14:val="none"/>
        </w:rPr>
        <w:t xml:space="preserve">The proposal complies with </w:t>
      </w:r>
      <w:r w:rsidRPr="00AD63ED">
        <w:rPr>
          <w:rFonts w:ascii="Arial" w:eastAsia="Times New Roman" w:hAnsi="Arial" w:cs="Arial"/>
          <w:b/>
          <w:bCs/>
          <w:kern w:val="0"/>
          <w:lang w:eastAsia="en-GB"/>
          <w14:ligatures w14:val="none"/>
        </w:rPr>
        <w:t>Local Plan Policies HE1, HE3 and D1</w:t>
      </w:r>
      <w:r w:rsidRPr="00AD63ED">
        <w:rPr>
          <w:rFonts w:ascii="Arial" w:eastAsia="Times New Roman" w:hAnsi="Arial" w:cs="Arial"/>
          <w:kern w:val="0"/>
          <w:lang w:eastAsia="en-GB"/>
          <w14:ligatures w14:val="none"/>
        </w:rPr>
        <w:t xml:space="preserve">, and </w:t>
      </w:r>
      <w:r w:rsidRPr="00AD63ED">
        <w:rPr>
          <w:rFonts w:ascii="Arial" w:eastAsia="Times New Roman" w:hAnsi="Arial" w:cs="Arial"/>
          <w:b/>
          <w:bCs/>
          <w:kern w:val="0"/>
          <w:lang w:eastAsia="en-GB"/>
          <w14:ligatures w14:val="none"/>
        </w:rPr>
        <w:t>NPPF Paragraphs 194 and 199</w:t>
      </w:r>
      <w:r w:rsidRPr="00AD63ED">
        <w:rPr>
          <w:rFonts w:ascii="Arial" w:eastAsia="Times New Roman" w:hAnsi="Arial" w:cs="Arial"/>
          <w:kern w:val="0"/>
          <w:lang w:eastAsia="en-GB"/>
          <w14:ligatures w14:val="none"/>
        </w:rPr>
        <w:t>, and should therefore be supported.</w:t>
      </w:r>
    </w:p>
    <w:p w14:paraId="3C5B5BF9" w14:textId="77777777" w:rsidR="004005D0" w:rsidRPr="00AD63ED" w:rsidRDefault="004005D0">
      <w:pPr>
        <w:rPr>
          <w:rFonts w:ascii="Arial" w:hAnsi="Arial" w:cs="Arial"/>
        </w:rPr>
      </w:pPr>
    </w:p>
    <w:sectPr w:rsidR="004005D0" w:rsidRPr="00AD6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5735"/>
    <w:multiLevelType w:val="multilevel"/>
    <w:tmpl w:val="A640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33773"/>
    <w:multiLevelType w:val="multilevel"/>
    <w:tmpl w:val="F5DC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5009D"/>
    <w:multiLevelType w:val="multilevel"/>
    <w:tmpl w:val="FCEE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D2636A"/>
    <w:multiLevelType w:val="multilevel"/>
    <w:tmpl w:val="2730E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787404">
    <w:abstractNumId w:val="2"/>
  </w:num>
  <w:num w:numId="2" w16cid:durableId="50423821">
    <w:abstractNumId w:val="1"/>
  </w:num>
  <w:num w:numId="3" w16cid:durableId="1318025850">
    <w:abstractNumId w:val="0"/>
  </w:num>
  <w:num w:numId="4" w16cid:durableId="1798330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3ED"/>
    <w:rsid w:val="000861CD"/>
    <w:rsid w:val="00291D39"/>
    <w:rsid w:val="004005D0"/>
    <w:rsid w:val="00602E41"/>
    <w:rsid w:val="00AB5805"/>
    <w:rsid w:val="00AD63ED"/>
    <w:rsid w:val="00F3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C1D6"/>
  <w15:chartTrackingRefBased/>
  <w15:docId w15:val="{A3C85CAB-CBE6-4FC1-AE10-BA548E635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3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63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3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3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3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3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3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3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3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3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3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3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3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3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3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3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3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3ED"/>
    <w:rPr>
      <w:rFonts w:eastAsiaTheme="majorEastAsia" w:cstheme="majorBidi"/>
      <w:color w:val="272727" w:themeColor="text1" w:themeTint="D8"/>
    </w:rPr>
  </w:style>
  <w:style w:type="paragraph" w:styleId="Title">
    <w:name w:val="Title"/>
    <w:basedOn w:val="Normal"/>
    <w:next w:val="Normal"/>
    <w:link w:val="TitleChar"/>
    <w:uiPriority w:val="10"/>
    <w:qFormat/>
    <w:rsid w:val="00AD63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3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3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3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3ED"/>
    <w:pPr>
      <w:spacing w:before="160"/>
      <w:jc w:val="center"/>
    </w:pPr>
    <w:rPr>
      <w:i/>
      <w:iCs/>
      <w:color w:val="404040" w:themeColor="text1" w:themeTint="BF"/>
    </w:rPr>
  </w:style>
  <w:style w:type="character" w:customStyle="1" w:styleId="QuoteChar">
    <w:name w:val="Quote Char"/>
    <w:basedOn w:val="DefaultParagraphFont"/>
    <w:link w:val="Quote"/>
    <w:uiPriority w:val="29"/>
    <w:rsid w:val="00AD63ED"/>
    <w:rPr>
      <w:i/>
      <w:iCs/>
      <w:color w:val="404040" w:themeColor="text1" w:themeTint="BF"/>
    </w:rPr>
  </w:style>
  <w:style w:type="paragraph" w:styleId="ListParagraph">
    <w:name w:val="List Paragraph"/>
    <w:basedOn w:val="Normal"/>
    <w:uiPriority w:val="34"/>
    <w:qFormat/>
    <w:rsid w:val="00AD63ED"/>
    <w:pPr>
      <w:ind w:left="720"/>
      <w:contextualSpacing/>
    </w:pPr>
  </w:style>
  <w:style w:type="character" w:styleId="IntenseEmphasis">
    <w:name w:val="Intense Emphasis"/>
    <w:basedOn w:val="DefaultParagraphFont"/>
    <w:uiPriority w:val="21"/>
    <w:qFormat/>
    <w:rsid w:val="00AD63ED"/>
    <w:rPr>
      <w:i/>
      <w:iCs/>
      <w:color w:val="0F4761" w:themeColor="accent1" w:themeShade="BF"/>
    </w:rPr>
  </w:style>
  <w:style w:type="paragraph" w:styleId="IntenseQuote">
    <w:name w:val="Intense Quote"/>
    <w:basedOn w:val="Normal"/>
    <w:next w:val="Normal"/>
    <w:link w:val="IntenseQuoteChar"/>
    <w:uiPriority w:val="30"/>
    <w:qFormat/>
    <w:rsid w:val="00AD63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3ED"/>
    <w:rPr>
      <w:i/>
      <w:iCs/>
      <w:color w:val="0F4761" w:themeColor="accent1" w:themeShade="BF"/>
    </w:rPr>
  </w:style>
  <w:style w:type="character" w:styleId="IntenseReference">
    <w:name w:val="Intense Reference"/>
    <w:basedOn w:val="DefaultParagraphFont"/>
    <w:uiPriority w:val="32"/>
    <w:qFormat/>
    <w:rsid w:val="00AD63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0ACED374-4DB1-4B28-B3D4-B31844AB1FD4}"/>
</file>

<file path=customXml/itemProps2.xml><?xml version="1.0" encoding="utf-8"?>
<ds:datastoreItem xmlns:ds="http://schemas.openxmlformats.org/officeDocument/2006/customXml" ds:itemID="{E710CCBF-EBCD-42D4-8C27-ECD97F706D59}"/>
</file>

<file path=customXml/itemProps3.xml><?xml version="1.0" encoding="utf-8"?>
<ds:datastoreItem xmlns:ds="http://schemas.openxmlformats.org/officeDocument/2006/customXml" ds:itemID="{1ADB7800-E297-448E-9FEA-D056EE852084}"/>
</file>

<file path=docProps/app.xml><?xml version="1.0" encoding="utf-8"?>
<Properties xmlns="http://schemas.openxmlformats.org/officeDocument/2006/extended-properties" xmlns:vt="http://schemas.openxmlformats.org/officeDocument/2006/docPropsVTypes">
  <Template>Normal.dotm</Template>
  <TotalTime>15</TotalTime>
  <Pages>5</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Dunwell</dc:creator>
  <cp:keywords/>
  <dc:description/>
  <cp:lastModifiedBy>Scott Dunwell</cp:lastModifiedBy>
  <cp:revision>2</cp:revision>
  <dcterms:created xsi:type="dcterms:W3CDTF">2026-08-17T08:41:00Z</dcterms:created>
  <dcterms:modified xsi:type="dcterms:W3CDTF">2026-08-17T08:56:00Z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