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A7BB9" w14:textId="71D7A7E8" w:rsidR="004E1337" w:rsidRDefault="00632D4E" w:rsidP="004E1337">
      <w:pPr>
        <w:jc w:val="center"/>
        <w:rPr>
          <w:b/>
          <w:bCs/>
          <w:sz w:val="28"/>
          <w:szCs w:val="28"/>
        </w:rPr>
      </w:pPr>
      <w:r>
        <w:rPr>
          <w:b/>
          <w:bCs/>
          <w:sz w:val="28"/>
          <w:szCs w:val="28"/>
        </w:rPr>
        <w:t>CERTIFICATE OF LAWFUL DEVELOPMENT</w:t>
      </w:r>
    </w:p>
    <w:p w14:paraId="6553A4A5" w14:textId="6F6DB6A9" w:rsidR="004E1337" w:rsidRPr="004E1337" w:rsidRDefault="004E1337" w:rsidP="004E1337">
      <w:pPr>
        <w:jc w:val="center"/>
        <w:rPr>
          <w:b/>
          <w:bCs/>
          <w:sz w:val="28"/>
          <w:szCs w:val="28"/>
        </w:rPr>
      </w:pPr>
      <w:r>
        <w:rPr>
          <w:b/>
          <w:bCs/>
          <w:sz w:val="28"/>
          <w:szCs w:val="28"/>
        </w:rPr>
        <w:t>For</w:t>
      </w:r>
    </w:p>
    <w:p w14:paraId="6F202989" w14:textId="1BD18620" w:rsidR="004E1337" w:rsidRDefault="00632D4E" w:rsidP="004E1337">
      <w:pPr>
        <w:jc w:val="center"/>
        <w:rPr>
          <w:b/>
          <w:bCs/>
          <w:sz w:val="28"/>
          <w:szCs w:val="28"/>
        </w:rPr>
      </w:pPr>
      <w:r>
        <w:rPr>
          <w:b/>
          <w:bCs/>
          <w:sz w:val="28"/>
          <w:szCs w:val="28"/>
        </w:rPr>
        <w:t xml:space="preserve">Demolition of single storey rear </w:t>
      </w:r>
      <w:r w:rsidR="00C678EB">
        <w:rPr>
          <w:b/>
          <w:bCs/>
          <w:sz w:val="28"/>
          <w:szCs w:val="28"/>
        </w:rPr>
        <w:t>building</w:t>
      </w:r>
    </w:p>
    <w:p w14:paraId="63B9DD5B" w14:textId="4981DFBE" w:rsidR="00632D4E" w:rsidRDefault="00632D4E" w:rsidP="004E1337">
      <w:pPr>
        <w:jc w:val="center"/>
        <w:rPr>
          <w:b/>
          <w:bCs/>
          <w:sz w:val="28"/>
          <w:szCs w:val="28"/>
        </w:rPr>
      </w:pPr>
      <w:r>
        <w:rPr>
          <w:b/>
          <w:bCs/>
          <w:sz w:val="28"/>
          <w:szCs w:val="28"/>
        </w:rPr>
        <w:t>and erection of new single storey rear extension at</w:t>
      </w:r>
    </w:p>
    <w:p w14:paraId="04659000" w14:textId="37AD62BF" w:rsidR="004E1337" w:rsidRDefault="00632D4E" w:rsidP="004E1337">
      <w:pPr>
        <w:jc w:val="center"/>
        <w:rPr>
          <w:b/>
          <w:bCs/>
          <w:sz w:val="28"/>
          <w:szCs w:val="28"/>
        </w:rPr>
      </w:pPr>
      <w:r>
        <w:rPr>
          <w:b/>
          <w:bCs/>
          <w:sz w:val="28"/>
          <w:szCs w:val="28"/>
        </w:rPr>
        <w:t>25 Castle Street</w:t>
      </w:r>
    </w:p>
    <w:p w14:paraId="3478C667" w14:textId="73935BF7" w:rsidR="004E1337" w:rsidRDefault="00632D4E" w:rsidP="004E1337">
      <w:pPr>
        <w:jc w:val="center"/>
        <w:rPr>
          <w:b/>
          <w:bCs/>
          <w:sz w:val="28"/>
          <w:szCs w:val="28"/>
        </w:rPr>
      </w:pPr>
      <w:r>
        <w:rPr>
          <w:b/>
          <w:bCs/>
          <w:sz w:val="28"/>
          <w:szCs w:val="28"/>
        </w:rPr>
        <w:t>Penistone</w:t>
      </w:r>
    </w:p>
    <w:p w14:paraId="1FE6B647" w14:textId="4890A6B6" w:rsidR="004E1337" w:rsidRPr="004E1337" w:rsidRDefault="00632D4E" w:rsidP="004E1337">
      <w:pPr>
        <w:jc w:val="center"/>
        <w:rPr>
          <w:b/>
          <w:bCs/>
          <w:sz w:val="28"/>
          <w:szCs w:val="28"/>
        </w:rPr>
      </w:pPr>
      <w:r>
        <w:rPr>
          <w:b/>
          <w:bCs/>
          <w:sz w:val="28"/>
          <w:szCs w:val="28"/>
        </w:rPr>
        <w:t>Barnsley</w:t>
      </w:r>
    </w:p>
    <w:p w14:paraId="1034E013" w14:textId="46FC8BCB" w:rsidR="004E1337" w:rsidRPr="004E1337" w:rsidRDefault="00632D4E" w:rsidP="004E1337">
      <w:pPr>
        <w:jc w:val="center"/>
        <w:rPr>
          <w:sz w:val="28"/>
          <w:szCs w:val="28"/>
        </w:rPr>
      </w:pPr>
      <w:r>
        <w:rPr>
          <w:b/>
          <w:bCs/>
          <w:sz w:val="28"/>
          <w:szCs w:val="28"/>
        </w:rPr>
        <w:t>S36 6AP</w:t>
      </w:r>
    </w:p>
    <w:p w14:paraId="6D354011" w14:textId="77777777" w:rsidR="004E1337" w:rsidRDefault="004E1337" w:rsidP="004E1337"/>
    <w:p w14:paraId="08D88D9E" w14:textId="77777777" w:rsidR="004E1337" w:rsidRDefault="004E1337" w:rsidP="004E1337"/>
    <w:p w14:paraId="205EE312" w14:textId="0F4B7723" w:rsidR="004E1337" w:rsidRDefault="004E1337" w:rsidP="004E1337">
      <w:pPr>
        <w:rPr>
          <w:rFonts w:ascii="Arial" w:hAnsi="Arial" w:cs="Arial"/>
        </w:rPr>
      </w:pPr>
      <w:r>
        <w:rPr>
          <w:rFonts w:ascii="Arial" w:hAnsi="Arial" w:cs="Arial"/>
        </w:rPr>
        <w:t xml:space="preserve">This document is submitted in conjunction with </w:t>
      </w:r>
      <w:r w:rsidR="00632D4E">
        <w:rPr>
          <w:rFonts w:ascii="Arial" w:hAnsi="Arial" w:cs="Arial"/>
        </w:rPr>
        <w:t xml:space="preserve">drawing no. 25-059-03, which </w:t>
      </w:r>
      <w:r w:rsidRPr="004E1337">
        <w:rPr>
          <w:rFonts w:ascii="Arial" w:hAnsi="Arial" w:cs="Arial"/>
        </w:rPr>
        <w:t>seek</w:t>
      </w:r>
      <w:r w:rsidR="00632D4E">
        <w:rPr>
          <w:rFonts w:ascii="Arial" w:hAnsi="Arial" w:cs="Arial"/>
        </w:rPr>
        <w:t>s confirmation that the proposals for the above-mentioned property fall within Permitted Developments rights and that a Lawful Development Certificate should be granted.</w:t>
      </w:r>
    </w:p>
    <w:p w14:paraId="7C16CA74" w14:textId="56D59EF6" w:rsidR="00C678EB" w:rsidRPr="004E1337" w:rsidRDefault="00C678EB" w:rsidP="004E1337">
      <w:pPr>
        <w:rPr>
          <w:rFonts w:ascii="Arial" w:hAnsi="Arial" w:cs="Arial"/>
        </w:rPr>
      </w:pPr>
      <w:r w:rsidRPr="00C678EB">
        <w:rPr>
          <w:rFonts w:ascii="Arial" w:hAnsi="Arial" w:cs="Arial"/>
        </w:rPr>
        <w:t>The purpose of this statement is to demonstrate that the proposal meets the criteria for development permitted under PD rights and will have no unacceptable impact on the amenity of neighbouring properties or the character of the locality.</w:t>
      </w:r>
    </w:p>
    <w:p w14:paraId="45E0C09F" w14:textId="77777777" w:rsidR="00C678EB" w:rsidRPr="00C678EB" w:rsidRDefault="00C678EB" w:rsidP="00C678EB">
      <w:pPr>
        <w:rPr>
          <w:rFonts w:ascii="Arial" w:hAnsi="Arial" w:cs="Arial"/>
          <w:b/>
          <w:bCs/>
        </w:rPr>
      </w:pPr>
      <w:r w:rsidRPr="00C678EB">
        <w:rPr>
          <w:rFonts w:ascii="Arial" w:hAnsi="Arial" w:cs="Arial"/>
          <w:b/>
          <w:bCs/>
        </w:rPr>
        <w:t>2. Site and Existing Context</w:t>
      </w:r>
    </w:p>
    <w:p w14:paraId="5A4A5CD1" w14:textId="1F697E09" w:rsidR="00C678EB" w:rsidRPr="00C678EB" w:rsidRDefault="00C678EB" w:rsidP="00C678EB">
      <w:pPr>
        <w:rPr>
          <w:rFonts w:ascii="Arial" w:hAnsi="Arial" w:cs="Arial"/>
        </w:rPr>
      </w:pPr>
      <w:r w:rsidRPr="00C678EB">
        <w:rPr>
          <w:rFonts w:ascii="Arial" w:hAnsi="Arial" w:cs="Arial"/>
        </w:rPr>
        <w:t xml:space="preserve">The application site comprises a two-storey </w:t>
      </w:r>
      <w:r w:rsidRPr="00C678EB">
        <w:rPr>
          <w:rFonts w:ascii="Arial" w:hAnsi="Arial" w:cs="Arial"/>
        </w:rPr>
        <w:t>terraced</w:t>
      </w:r>
      <w:r w:rsidRPr="00C678EB">
        <w:rPr>
          <w:rFonts w:ascii="Arial" w:hAnsi="Arial" w:cs="Arial"/>
        </w:rPr>
        <w:t xml:space="preserve"> dwelling</w:t>
      </w:r>
      <w:r w:rsidRPr="00C678EB">
        <w:rPr>
          <w:rFonts w:ascii="Arial" w:hAnsi="Arial" w:cs="Arial"/>
        </w:rPr>
        <w:t xml:space="preserve"> </w:t>
      </w:r>
      <w:r w:rsidRPr="00C678EB">
        <w:rPr>
          <w:rFonts w:ascii="Arial" w:hAnsi="Arial" w:cs="Arial"/>
        </w:rPr>
        <w:t>with an existing single-storey rear outbuilding/extension, which is to be demolished and replaced. The property is not:</w:t>
      </w:r>
    </w:p>
    <w:p w14:paraId="71D79B95" w14:textId="77777777" w:rsidR="00C678EB" w:rsidRPr="00C678EB" w:rsidRDefault="00C678EB" w:rsidP="00C678EB">
      <w:pPr>
        <w:numPr>
          <w:ilvl w:val="0"/>
          <w:numId w:val="1"/>
        </w:numPr>
        <w:rPr>
          <w:rFonts w:ascii="Arial" w:hAnsi="Arial" w:cs="Arial"/>
        </w:rPr>
      </w:pPr>
      <w:r w:rsidRPr="00C678EB">
        <w:rPr>
          <w:rFonts w:ascii="Arial" w:hAnsi="Arial" w:cs="Arial"/>
        </w:rPr>
        <w:t>a Listed Building;</w:t>
      </w:r>
    </w:p>
    <w:p w14:paraId="7778A547" w14:textId="77777777" w:rsidR="00C678EB" w:rsidRPr="00C678EB" w:rsidRDefault="00C678EB" w:rsidP="00C678EB">
      <w:pPr>
        <w:numPr>
          <w:ilvl w:val="0"/>
          <w:numId w:val="1"/>
        </w:numPr>
        <w:rPr>
          <w:rFonts w:ascii="Arial" w:hAnsi="Arial" w:cs="Arial"/>
        </w:rPr>
      </w:pPr>
      <w:r w:rsidRPr="00C678EB">
        <w:rPr>
          <w:rFonts w:ascii="Arial" w:hAnsi="Arial" w:cs="Arial"/>
        </w:rPr>
        <w:t>located within a Conservation Area;</w:t>
      </w:r>
    </w:p>
    <w:p w14:paraId="6A698243" w14:textId="77777777" w:rsidR="00C678EB" w:rsidRPr="00C678EB" w:rsidRDefault="00C678EB" w:rsidP="00C678EB">
      <w:pPr>
        <w:numPr>
          <w:ilvl w:val="0"/>
          <w:numId w:val="1"/>
        </w:numPr>
        <w:rPr>
          <w:rFonts w:ascii="Arial" w:hAnsi="Arial" w:cs="Arial"/>
        </w:rPr>
      </w:pPr>
      <w:r w:rsidRPr="00C678EB">
        <w:rPr>
          <w:rFonts w:ascii="Arial" w:hAnsi="Arial" w:cs="Arial"/>
        </w:rPr>
        <w:t>subject to Article 4 directions; or</w:t>
      </w:r>
    </w:p>
    <w:p w14:paraId="6CB72CB6" w14:textId="77777777" w:rsidR="00C678EB" w:rsidRDefault="00C678EB" w:rsidP="00C678EB">
      <w:pPr>
        <w:numPr>
          <w:ilvl w:val="0"/>
          <w:numId w:val="1"/>
        </w:numPr>
        <w:rPr>
          <w:rFonts w:ascii="Arial" w:hAnsi="Arial" w:cs="Arial"/>
        </w:rPr>
      </w:pPr>
      <w:r w:rsidRPr="00C678EB">
        <w:rPr>
          <w:rFonts w:ascii="Arial" w:hAnsi="Arial" w:cs="Arial"/>
        </w:rPr>
        <w:t>situated on designated land as defined in the GPDO.</w:t>
      </w:r>
    </w:p>
    <w:p w14:paraId="0757F5CB" w14:textId="77777777" w:rsidR="00C678EB" w:rsidRPr="00C678EB" w:rsidRDefault="00C678EB" w:rsidP="00C678EB">
      <w:pPr>
        <w:rPr>
          <w:rFonts w:ascii="Arial" w:hAnsi="Arial" w:cs="Arial"/>
          <w:b/>
          <w:bCs/>
        </w:rPr>
      </w:pPr>
      <w:r w:rsidRPr="00C678EB">
        <w:rPr>
          <w:rFonts w:ascii="Arial" w:hAnsi="Arial" w:cs="Arial"/>
          <w:b/>
          <w:bCs/>
        </w:rPr>
        <w:t>3. Description of Proposed Development</w:t>
      </w:r>
    </w:p>
    <w:p w14:paraId="547D2265" w14:textId="77777777" w:rsidR="00C678EB" w:rsidRPr="00C678EB" w:rsidRDefault="00C678EB" w:rsidP="00C678EB">
      <w:pPr>
        <w:rPr>
          <w:rFonts w:ascii="Arial" w:hAnsi="Arial" w:cs="Arial"/>
        </w:rPr>
      </w:pPr>
      <w:r w:rsidRPr="00C678EB">
        <w:rPr>
          <w:rFonts w:ascii="Arial" w:hAnsi="Arial" w:cs="Arial"/>
        </w:rPr>
        <w:t>The proposal involves:</w:t>
      </w:r>
    </w:p>
    <w:p w14:paraId="5F9D58A0" w14:textId="77777777" w:rsidR="00C678EB" w:rsidRPr="00C678EB" w:rsidRDefault="00C678EB" w:rsidP="00C678EB">
      <w:pPr>
        <w:numPr>
          <w:ilvl w:val="0"/>
          <w:numId w:val="2"/>
        </w:numPr>
        <w:rPr>
          <w:rFonts w:ascii="Arial" w:hAnsi="Arial" w:cs="Arial"/>
        </w:rPr>
      </w:pPr>
      <w:r w:rsidRPr="00C678EB">
        <w:rPr>
          <w:rFonts w:ascii="Arial" w:hAnsi="Arial" w:cs="Arial"/>
        </w:rPr>
        <w:t>Demolition of the existing rear structure.</w:t>
      </w:r>
    </w:p>
    <w:p w14:paraId="325DED75" w14:textId="6D1FA4B5" w:rsidR="00C678EB" w:rsidRPr="00C678EB" w:rsidRDefault="00C678EB" w:rsidP="00C678EB">
      <w:pPr>
        <w:numPr>
          <w:ilvl w:val="0"/>
          <w:numId w:val="2"/>
        </w:numPr>
        <w:rPr>
          <w:rFonts w:ascii="Arial" w:hAnsi="Arial" w:cs="Arial"/>
        </w:rPr>
      </w:pPr>
      <w:r w:rsidRPr="00C678EB">
        <w:rPr>
          <w:rFonts w:ascii="Arial" w:hAnsi="Arial" w:cs="Arial"/>
        </w:rPr>
        <w:t xml:space="preserve">Construction of a new single-storey rear extension projecting </w:t>
      </w:r>
      <w:r w:rsidRPr="00C678EB">
        <w:rPr>
          <w:rFonts w:ascii="Arial" w:hAnsi="Arial" w:cs="Arial"/>
        </w:rPr>
        <w:t>a max. 2.81</w:t>
      </w:r>
      <w:r w:rsidRPr="00C678EB">
        <w:rPr>
          <w:rFonts w:ascii="Arial" w:hAnsi="Arial" w:cs="Arial"/>
        </w:rPr>
        <w:t xml:space="preserve"> metres from the original rear wall.</w:t>
      </w:r>
    </w:p>
    <w:p w14:paraId="586B7A98" w14:textId="2E020B98" w:rsidR="00C678EB" w:rsidRPr="00C678EB" w:rsidRDefault="00C678EB" w:rsidP="00C678EB">
      <w:pPr>
        <w:numPr>
          <w:ilvl w:val="0"/>
          <w:numId w:val="2"/>
        </w:numPr>
        <w:rPr>
          <w:rFonts w:ascii="Arial" w:hAnsi="Arial" w:cs="Arial"/>
        </w:rPr>
      </w:pPr>
      <w:r>
        <w:rPr>
          <w:rFonts w:ascii="Arial" w:hAnsi="Arial" w:cs="Arial"/>
        </w:rPr>
        <w:t>Flat roof with a</w:t>
      </w:r>
      <w:r w:rsidRPr="00C678EB">
        <w:rPr>
          <w:rFonts w:ascii="Arial" w:hAnsi="Arial" w:cs="Arial"/>
        </w:rPr>
        <w:t xml:space="preserve"> maximum height of </w:t>
      </w:r>
      <w:r>
        <w:rPr>
          <w:rFonts w:ascii="Arial" w:hAnsi="Arial" w:cs="Arial"/>
        </w:rPr>
        <w:t xml:space="preserve">3.0 </w:t>
      </w:r>
      <w:r w:rsidRPr="00C678EB">
        <w:rPr>
          <w:rFonts w:ascii="Arial" w:hAnsi="Arial" w:cs="Arial"/>
        </w:rPr>
        <w:t>metres.</w:t>
      </w:r>
    </w:p>
    <w:p w14:paraId="2E4AF1EF" w14:textId="05EEDB70" w:rsidR="00C678EB" w:rsidRPr="00C678EB" w:rsidRDefault="00C678EB" w:rsidP="00C678EB">
      <w:pPr>
        <w:numPr>
          <w:ilvl w:val="0"/>
          <w:numId w:val="2"/>
        </w:numPr>
        <w:rPr>
          <w:rFonts w:ascii="Arial" w:hAnsi="Arial" w:cs="Arial"/>
        </w:rPr>
      </w:pPr>
      <w:r w:rsidRPr="00C678EB">
        <w:rPr>
          <w:rFonts w:ascii="Arial" w:hAnsi="Arial" w:cs="Arial"/>
        </w:rPr>
        <w:t xml:space="preserve">External materials to match or complement the existing dwelling </w:t>
      </w:r>
      <w:r>
        <w:rPr>
          <w:rFonts w:ascii="Arial" w:hAnsi="Arial" w:cs="Arial"/>
        </w:rPr>
        <w:t xml:space="preserve">– facing </w:t>
      </w:r>
      <w:r w:rsidRPr="00C678EB">
        <w:rPr>
          <w:rFonts w:ascii="Arial" w:hAnsi="Arial" w:cs="Arial"/>
        </w:rPr>
        <w:t xml:space="preserve">brickwork, </w:t>
      </w:r>
      <w:r>
        <w:rPr>
          <w:rFonts w:ascii="Arial" w:hAnsi="Arial" w:cs="Arial"/>
        </w:rPr>
        <w:t>flat roof surfaced in rubber or GRP.</w:t>
      </w:r>
    </w:p>
    <w:p w14:paraId="0C303A10" w14:textId="2B16AED1" w:rsidR="00C678EB" w:rsidRPr="00C678EB" w:rsidRDefault="00C678EB" w:rsidP="00C678EB">
      <w:pPr>
        <w:rPr>
          <w:rFonts w:ascii="Arial" w:hAnsi="Arial" w:cs="Arial"/>
        </w:rPr>
      </w:pPr>
      <w:r w:rsidRPr="00C678EB">
        <w:rPr>
          <w:rFonts w:ascii="Arial" w:hAnsi="Arial" w:cs="Arial"/>
        </w:rPr>
        <w:t>The extension will provide improved kitchen/dining accommodation and enhance the usability of the property.</w:t>
      </w:r>
      <w:r>
        <w:rPr>
          <w:rFonts w:ascii="Arial" w:hAnsi="Arial" w:cs="Arial"/>
        </w:rPr>
        <w:t xml:space="preserve"> A small WC and cloakroom area is to be provided.</w:t>
      </w:r>
    </w:p>
    <w:p w14:paraId="57FE01BA" w14:textId="77777777" w:rsidR="00A00325" w:rsidRPr="00A00325" w:rsidRDefault="00A00325" w:rsidP="00A00325">
      <w:pPr>
        <w:rPr>
          <w:rFonts w:ascii="Arial" w:hAnsi="Arial" w:cs="Arial"/>
          <w:b/>
          <w:bCs/>
        </w:rPr>
      </w:pPr>
      <w:r w:rsidRPr="00A00325">
        <w:rPr>
          <w:rFonts w:ascii="Arial" w:hAnsi="Arial" w:cs="Arial"/>
          <w:b/>
          <w:bCs/>
        </w:rPr>
        <w:lastRenderedPageBreak/>
        <w:t>4. Permitted Development Compliance (GPDO 2015, Schedule 2, Part 1, Class A)</w:t>
      </w:r>
    </w:p>
    <w:p w14:paraId="46952459" w14:textId="77777777" w:rsidR="00A00325" w:rsidRPr="00A00325" w:rsidRDefault="00A00325" w:rsidP="00A00325">
      <w:pPr>
        <w:rPr>
          <w:rFonts w:ascii="Arial" w:hAnsi="Arial" w:cs="Arial"/>
        </w:rPr>
      </w:pPr>
      <w:r w:rsidRPr="00A00325">
        <w:rPr>
          <w:rFonts w:ascii="Arial" w:hAnsi="Arial" w:cs="Arial"/>
        </w:rPr>
        <w:t>The proposal meets all relevant criteria under Class A, including:</w:t>
      </w:r>
    </w:p>
    <w:p w14:paraId="62A033C3" w14:textId="77777777" w:rsidR="00A00325" w:rsidRPr="00A00325" w:rsidRDefault="00A00325" w:rsidP="00A00325">
      <w:pPr>
        <w:numPr>
          <w:ilvl w:val="0"/>
          <w:numId w:val="3"/>
        </w:numPr>
        <w:rPr>
          <w:rFonts w:ascii="Arial" w:hAnsi="Arial" w:cs="Arial"/>
        </w:rPr>
      </w:pPr>
      <w:r w:rsidRPr="00A00325">
        <w:rPr>
          <w:rFonts w:ascii="Arial" w:hAnsi="Arial" w:cs="Arial"/>
          <w:b/>
          <w:bCs/>
        </w:rPr>
        <w:t>Use</w:t>
      </w:r>
      <w:r w:rsidRPr="00A00325">
        <w:rPr>
          <w:rFonts w:ascii="Arial" w:hAnsi="Arial" w:cs="Arial"/>
        </w:rPr>
        <w:br/>
        <w:t>The property is a single dwellinghouse in lawful C3 residential use.</w:t>
      </w:r>
    </w:p>
    <w:p w14:paraId="36EE99FB" w14:textId="77777777" w:rsidR="00A00325" w:rsidRPr="00A00325" w:rsidRDefault="00A00325" w:rsidP="00A00325">
      <w:pPr>
        <w:numPr>
          <w:ilvl w:val="0"/>
          <w:numId w:val="3"/>
        </w:numPr>
        <w:rPr>
          <w:rFonts w:ascii="Arial" w:hAnsi="Arial" w:cs="Arial"/>
        </w:rPr>
      </w:pPr>
      <w:r w:rsidRPr="00A00325">
        <w:rPr>
          <w:rFonts w:ascii="Arial" w:hAnsi="Arial" w:cs="Arial"/>
          <w:b/>
          <w:bCs/>
        </w:rPr>
        <w:t>Rear Projection Limits</w:t>
      </w:r>
    </w:p>
    <w:p w14:paraId="7A95F95D" w14:textId="77777777" w:rsidR="00A00325" w:rsidRPr="00A00325" w:rsidRDefault="00A00325" w:rsidP="00A00325">
      <w:pPr>
        <w:numPr>
          <w:ilvl w:val="1"/>
          <w:numId w:val="3"/>
        </w:numPr>
        <w:rPr>
          <w:rFonts w:ascii="Arial" w:hAnsi="Arial" w:cs="Arial"/>
        </w:rPr>
      </w:pPr>
      <w:r w:rsidRPr="00A00325">
        <w:rPr>
          <w:rFonts w:ascii="Arial" w:hAnsi="Arial" w:cs="Arial"/>
        </w:rPr>
        <w:t xml:space="preserve">For a </w:t>
      </w:r>
      <w:r w:rsidRPr="00A00325">
        <w:rPr>
          <w:rFonts w:ascii="Arial" w:hAnsi="Arial" w:cs="Arial"/>
          <w:b/>
          <w:bCs/>
        </w:rPr>
        <w:t>semi-detached/terraced dwelling</w:t>
      </w:r>
      <w:r w:rsidRPr="00A00325">
        <w:rPr>
          <w:rFonts w:ascii="Arial" w:hAnsi="Arial" w:cs="Arial"/>
        </w:rPr>
        <w:t xml:space="preserve">: projection does not exceed </w:t>
      </w:r>
      <w:r w:rsidRPr="00A00325">
        <w:rPr>
          <w:rFonts w:ascii="Arial" w:hAnsi="Arial" w:cs="Arial"/>
          <w:b/>
          <w:bCs/>
        </w:rPr>
        <w:t>3m</w:t>
      </w:r>
      <w:r w:rsidRPr="00A00325">
        <w:rPr>
          <w:rFonts w:ascii="Arial" w:hAnsi="Arial" w:cs="Arial"/>
        </w:rPr>
        <w:t xml:space="preserve"> (or up to 6m under the prior approval larger home extension process, if applicable).</w:t>
      </w:r>
    </w:p>
    <w:p w14:paraId="668C540D" w14:textId="77777777" w:rsidR="00A00325" w:rsidRPr="00A00325" w:rsidRDefault="00A00325" w:rsidP="00A00325">
      <w:pPr>
        <w:numPr>
          <w:ilvl w:val="1"/>
          <w:numId w:val="3"/>
        </w:numPr>
        <w:rPr>
          <w:rFonts w:ascii="Arial" w:hAnsi="Arial" w:cs="Arial"/>
        </w:rPr>
      </w:pPr>
      <w:r w:rsidRPr="00A00325">
        <w:rPr>
          <w:rFonts w:ascii="Arial" w:hAnsi="Arial" w:cs="Arial"/>
        </w:rPr>
        <w:t xml:space="preserve">For a </w:t>
      </w:r>
      <w:r w:rsidRPr="00A00325">
        <w:rPr>
          <w:rFonts w:ascii="Arial" w:hAnsi="Arial" w:cs="Arial"/>
          <w:b/>
          <w:bCs/>
        </w:rPr>
        <w:t>detached dwelling</w:t>
      </w:r>
      <w:r w:rsidRPr="00A00325">
        <w:rPr>
          <w:rFonts w:ascii="Arial" w:hAnsi="Arial" w:cs="Arial"/>
        </w:rPr>
        <w:t xml:space="preserve">: projection does not exceed </w:t>
      </w:r>
      <w:r w:rsidRPr="00A00325">
        <w:rPr>
          <w:rFonts w:ascii="Arial" w:hAnsi="Arial" w:cs="Arial"/>
          <w:b/>
          <w:bCs/>
        </w:rPr>
        <w:t>4m</w:t>
      </w:r>
      <w:r w:rsidRPr="00A00325">
        <w:rPr>
          <w:rFonts w:ascii="Arial" w:hAnsi="Arial" w:cs="Arial"/>
        </w:rPr>
        <w:t xml:space="preserve"> (or up to 8m under prior approval process).</w:t>
      </w:r>
      <w:r w:rsidRPr="00A00325">
        <w:rPr>
          <w:rFonts w:ascii="Arial" w:hAnsi="Arial" w:cs="Arial"/>
        </w:rPr>
        <w:br/>
        <w:t xml:space="preserve">The proposed extension projects </w:t>
      </w:r>
      <w:r w:rsidRPr="00A00325">
        <w:rPr>
          <w:rFonts w:ascii="Arial" w:hAnsi="Arial" w:cs="Arial"/>
          <w:b/>
          <w:bCs/>
        </w:rPr>
        <w:t>[insert measurement]</w:t>
      </w:r>
      <w:r w:rsidRPr="00A00325">
        <w:rPr>
          <w:rFonts w:ascii="Arial" w:hAnsi="Arial" w:cs="Arial"/>
        </w:rPr>
        <w:t xml:space="preserve">, therefore </w:t>
      </w:r>
      <w:r w:rsidRPr="00A00325">
        <w:rPr>
          <w:rFonts w:ascii="Arial" w:hAnsi="Arial" w:cs="Arial"/>
          <w:b/>
          <w:bCs/>
        </w:rPr>
        <w:t>complies</w:t>
      </w:r>
      <w:r w:rsidRPr="00A00325">
        <w:rPr>
          <w:rFonts w:ascii="Arial" w:hAnsi="Arial" w:cs="Arial"/>
        </w:rPr>
        <w:t>.</w:t>
      </w:r>
    </w:p>
    <w:p w14:paraId="30816CE3" w14:textId="77777777" w:rsidR="00A00325" w:rsidRPr="00A00325" w:rsidRDefault="00A00325" w:rsidP="00A00325">
      <w:pPr>
        <w:numPr>
          <w:ilvl w:val="0"/>
          <w:numId w:val="3"/>
        </w:numPr>
        <w:rPr>
          <w:rFonts w:ascii="Arial" w:hAnsi="Arial" w:cs="Arial"/>
        </w:rPr>
      </w:pPr>
      <w:r w:rsidRPr="00A00325">
        <w:rPr>
          <w:rFonts w:ascii="Arial" w:hAnsi="Arial" w:cs="Arial"/>
          <w:b/>
          <w:bCs/>
        </w:rPr>
        <w:t>Height Limits</w:t>
      </w:r>
    </w:p>
    <w:p w14:paraId="703B0519" w14:textId="77777777" w:rsidR="00A00325" w:rsidRPr="00A00325" w:rsidRDefault="00A00325" w:rsidP="00A00325">
      <w:pPr>
        <w:numPr>
          <w:ilvl w:val="1"/>
          <w:numId w:val="3"/>
        </w:numPr>
        <w:rPr>
          <w:rFonts w:ascii="Arial" w:hAnsi="Arial" w:cs="Arial"/>
        </w:rPr>
      </w:pPr>
      <w:r w:rsidRPr="00A00325">
        <w:rPr>
          <w:rFonts w:ascii="Arial" w:hAnsi="Arial" w:cs="Arial"/>
        </w:rPr>
        <w:t>Maximum height does not exceed 4m.</w:t>
      </w:r>
    </w:p>
    <w:p w14:paraId="5502BB22" w14:textId="77777777" w:rsidR="00A00325" w:rsidRPr="00A00325" w:rsidRDefault="00A00325" w:rsidP="00A00325">
      <w:pPr>
        <w:numPr>
          <w:ilvl w:val="0"/>
          <w:numId w:val="3"/>
        </w:numPr>
        <w:rPr>
          <w:rFonts w:ascii="Arial" w:hAnsi="Arial" w:cs="Arial"/>
        </w:rPr>
      </w:pPr>
      <w:r w:rsidRPr="00A00325">
        <w:rPr>
          <w:rFonts w:ascii="Arial" w:hAnsi="Arial" w:cs="Arial"/>
          <w:b/>
          <w:bCs/>
        </w:rPr>
        <w:t>Coverage</w:t>
      </w:r>
      <w:r w:rsidRPr="00A00325">
        <w:rPr>
          <w:rFonts w:ascii="Arial" w:hAnsi="Arial" w:cs="Arial"/>
        </w:rPr>
        <w:br/>
        <w:t>The total area of ground covered by the proposed extension (together with other buildings) does not exceed 50% of the curtilage.</w:t>
      </w:r>
    </w:p>
    <w:p w14:paraId="64D1E59C" w14:textId="77777777" w:rsidR="00A00325" w:rsidRPr="00A00325" w:rsidRDefault="00A00325" w:rsidP="00A00325">
      <w:pPr>
        <w:numPr>
          <w:ilvl w:val="0"/>
          <w:numId w:val="3"/>
        </w:numPr>
        <w:rPr>
          <w:rFonts w:ascii="Arial" w:hAnsi="Arial" w:cs="Arial"/>
        </w:rPr>
      </w:pPr>
      <w:r w:rsidRPr="00A00325">
        <w:rPr>
          <w:rFonts w:ascii="Arial" w:hAnsi="Arial" w:cs="Arial"/>
          <w:b/>
          <w:bCs/>
        </w:rPr>
        <w:t>Design and Materials</w:t>
      </w:r>
      <w:r w:rsidRPr="00A00325">
        <w:rPr>
          <w:rFonts w:ascii="Arial" w:hAnsi="Arial" w:cs="Arial"/>
        </w:rPr>
        <w:br/>
      </w:r>
      <w:proofErr w:type="spellStart"/>
      <w:r w:rsidRPr="00A00325">
        <w:rPr>
          <w:rFonts w:ascii="Arial" w:hAnsi="Arial" w:cs="Arial"/>
        </w:rPr>
        <w:t>Materials</w:t>
      </w:r>
      <w:proofErr w:type="spellEnd"/>
      <w:r w:rsidRPr="00A00325">
        <w:rPr>
          <w:rFonts w:ascii="Arial" w:hAnsi="Arial" w:cs="Arial"/>
        </w:rPr>
        <w:t xml:space="preserve"> are to be of a similar appearance to the existing dwelling, in accordance with Class A.3(a).</w:t>
      </w:r>
    </w:p>
    <w:p w14:paraId="702E6585" w14:textId="1DC24C26" w:rsidR="00A00325" w:rsidRDefault="00A00325" w:rsidP="00A00325">
      <w:pPr>
        <w:numPr>
          <w:ilvl w:val="0"/>
          <w:numId w:val="3"/>
        </w:numPr>
        <w:rPr>
          <w:rFonts w:ascii="Arial" w:hAnsi="Arial" w:cs="Arial"/>
        </w:rPr>
      </w:pPr>
      <w:r w:rsidRPr="00A00325">
        <w:rPr>
          <w:rFonts w:ascii="Arial" w:hAnsi="Arial" w:cs="Arial"/>
          <w:b/>
          <w:bCs/>
        </w:rPr>
        <w:t>Impact on Boundaries</w:t>
      </w:r>
      <w:r w:rsidRPr="00A00325">
        <w:rPr>
          <w:rFonts w:ascii="Arial" w:hAnsi="Arial" w:cs="Arial"/>
        </w:rPr>
        <w:br/>
        <w:t>Where the extension is within 2m of a boundary, the eaves height does not exceed 3m, satisfying Class A.1(</w:t>
      </w:r>
      <w:proofErr w:type="spellStart"/>
      <w:r w:rsidRPr="00A00325">
        <w:rPr>
          <w:rFonts w:ascii="Arial" w:hAnsi="Arial" w:cs="Arial"/>
        </w:rPr>
        <w:t>i</w:t>
      </w:r>
      <w:proofErr w:type="spellEnd"/>
      <w:r w:rsidRPr="00A00325">
        <w:rPr>
          <w:rFonts w:ascii="Arial" w:hAnsi="Arial" w:cs="Arial"/>
        </w:rPr>
        <w:t>).</w:t>
      </w:r>
    </w:p>
    <w:p w14:paraId="2EC46076" w14:textId="77777777" w:rsidR="00A00325" w:rsidRPr="00A00325" w:rsidRDefault="00A00325" w:rsidP="00A00325">
      <w:pPr>
        <w:ind w:left="720"/>
        <w:rPr>
          <w:rFonts w:ascii="Arial" w:hAnsi="Arial" w:cs="Arial"/>
        </w:rPr>
      </w:pPr>
    </w:p>
    <w:p w14:paraId="3EF98179" w14:textId="77777777" w:rsidR="00A00325" w:rsidRPr="00A00325" w:rsidRDefault="00A00325" w:rsidP="00A00325">
      <w:pPr>
        <w:rPr>
          <w:rFonts w:ascii="Arial" w:hAnsi="Arial" w:cs="Arial"/>
          <w:b/>
          <w:bCs/>
        </w:rPr>
      </w:pPr>
      <w:r w:rsidRPr="00A00325">
        <w:rPr>
          <w:rFonts w:ascii="Arial" w:hAnsi="Arial" w:cs="Arial"/>
          <w:b/>
          <w:bCs/>
        </w:rPr>
        <w:t>5. Impact on Neighbour Amenity</w:t>
      </w:r>
    </w:p>
    <w:p w14:paraId="04E8D700" w14:textId="77777777" w:rsidR="00A00325" w:rsidRPr="00A00325" w:rsidRDefault="00A00325" w:rsidP="00A00325">
      <w:pPr>
        <w:rPr>
          <w:rFonts w:ascii="Arial" w:hAnsi="Arial" w:cs="Arial"/>
        </w:rPr>
      </w:pPr>
      <w:r w:rsidRPr="00A00325">
        <w:rPr>
          <w:rFonts w:ascii="Arial" w:hAnsi="Arial" w:cs="Arial"/>
        </w:rPr>
        <w:t>The design ensures no unacceptable loss of light, outlook, or privacy for neighbouring properties:</w:t>
      </w:r>
    </w:p>
    <w:p w14:paraId="738CDEE2" w14:textId="77777777" w:rsidR="00A00325" w:rsidRPr="00A00325" w:rsidRDefault="00A00325" w:rsidP="00A00325">
      <w:pPr>
        <w:numPr>
          <w:ilvl w:val="0"/>
          <w:numId w:val="4"/>
        </w:numPr>
        <w:rPr>
          <w:rFonts w:ascii="Arial" w:hAnsi="Arial" w:cs="Arial"/>
        </w:rPr>
      </w:pPr>
      <w:r w:rsidRPr="00A00325">
        <w:rPr>
          <w:rFonts w:ascii="Arial" w:hAnsi="Arial" w:cs="Arial"/>
        </w:rPr>
        <w:t>The single-storey scale ensures minimal visual impact.</w:t>
      </w:r>
    </w:p>
    <w:p w14:paraId="7E4F73AB" w14:textId="40CB8BBD" w:rsidR="00A00325" w:rsidRPr="00A00325" w:rsidRDefault="00A00325" w:rsidP="00A00325">
      <w:pPr>
        <w:numPr>
          <w:ilvl w:val="0"/>
          <w:numId w:val="4"/>
        </w:numPr>
        <w:rPr>
          <w:rFonts w:ascii="Arial" w:hAnsi="Arial" w:cs="Arial"/>
        </w:rPr>
      </w:pPr>
      <w:r w:rsidRPr="00A00325">
        <w:rPr>
          <w:rFonts w:ascii="Arial" w:hAnsi="Arial" w:cs="Arial"/>
        </w:rPr>
        <w:t>No side-facing windows are proposed.</w:t>
      </w:r>
    </w:p>
    <w:p w14:paraId="491552CB" w14:textId="77777777" w:rsidR="00A00325" w:rsidRPr="00A00325" w:rsidRDefault="00A00325" w:rsidP="00A00325">
      <w:pPr>
        <w:numPr>
          <w:ilvl w:val="0"/>
          <w:numId w:val="4"/>
        </w:numPr>
        <w:rPr>
          <w:rFonts w:ascii="Arial" w:hAnsi="Arial" w:cs="Arial"/>
        </w:rPr>
      </w:pPr>
      <w:r w:rsidRPr="00A00325">
        <w:rPr>
          <w:rFonts w:ascii="Arial" w:hAnsi="Arial" w:cs="Arial"/>
        </w:rPr>
        <w:t>The extension’s depth and height are typical for the area and consistent with PD tolerances.</w:t>
      </w:r>
    </w:p>
    <w:p w14:paraId="52161055" w14:textId="77777777" w:rsidR="00A00325" w:rsidRPr="00A00325" w:rsidRDefault="00A00325" w:rsidP="00A00325">
      <w:pPr>
        <w:rPr>
          <w:rFonts w:ascii="Arial" w:hAnsi="Arial" w:cs="Arial"/>
        </w:rPr>
      </w:pPr>
      <w:r w:rsidRPr="00A00325">
        <w:rPr>
          <w:rFonts w:ascii="Arial" w:hAnsi="Arial" w:cs="Arial"/>
        </w:rPr>
        <w:t>The development therefore accords with general amenity principles outlined in national and local planning policy.</w:t>
      </w:r>
    </w:p>
    <w:p w14:paraId="337D7DDF" w14:textId="145CA250" w:rsidR="00A00325" w:rsidRPr="00A00325" w:rsidRDefault="00A00325" w:rsidP="00A00325">
      <w:pPr>
        <w:rPr>
          <w:rFonts w:ascii="Arial" w:hAnsi="Arial" w:cs="Arial"/>
        </w:rPr>
      </w:pPr>
    </w:p>
    <w:p w14:paraId="7052AA8D" w14:textId="77777777" w:rsidR="00A00325" w:rsidRPr="00A00325" w:rsidRDefault="00A00325" w:rsidP="00A00325">
      <w:pPr>
        <w:rPr>
          <w:rFonts w:ascii="Arial" w:hAnsi="Arial" w:cs="Arial"/>
          <w:b/>
          <w:bCs/>
        </w:rPr>
      </w:pPr>
      <w:r w:rsidRPr="00A00325">
        <w:rPr>
          <w:rFonts w:ascii="Arial" w:hAnsi="Arial" w:cs="Arial"/>
          <w:b/>
          <w:bCs/>
        </w:rPr>
        <w:t>6. Design and Character</w:t>
      </w:r>
    </w:p>
    <w:p w14:paraId="2E65DB8F" w14:textId="77777777" w:rsidR="00A00325" w:rsidRPr="00A00325" w:rsidRDefault="00A00325" w:rsidP="00A00325">
      <w:pPr>
        <w:rPr>
          <w:rFonts w:ascii="Arial" w:hAnsi="Arial" w:cs="Arial"/>
        </w:rPr>
      </w:pPr>
      <w:r w:rsidRPr="00A00325">
        <w:rPr>
          <w:rFonts w:ascii="Arial" w:hAnsi="Arial" w:cs="Arial"/>
        </w:rPr>
        <w:t>The extension has been designed to integrate sympathetically with the host dwelling:</w:t>
      </w:r>
    </w:p>
    <w:p w14:paraId="14A4CC00" w14:textId="77777777" w:rsidR="00A00325" w:rsidRPr="00A00325" w:rsidRDefault="00A00325" w:rsidP="00A00325">
      <w:pPr>
        <w:numPr>
          <w:ilvl w:val="0"/>
          <w:numId w:val="5"/>
        </w:numPr>
        <w:rPr>
          <w:rFonts w:ascii="Arial" w:hAnsi="Arial" w:cs="Arial"/>
        </w:rPr>
      </w:pPr>
      <w:r w:rsidRPr="00A00325">
        <w:rPr>
          <w:rFonts w:ascii="Arial" w:hAnsi="Arial" w:cs="Arial"/>
        </w:rPr>
        <w:t>Materials match or complement the existing building.</w:t>
      </w:r>
    </w:p>
    <w:p w14:paraId="1132E7AE" w14:textId="77777777" w:rsidR="00A00325" w:rsidRPr="00A00325" w:rsidRDefault="00A00325" w:rsidP="00A00325">
      <w:pPr>
        <w:numPr>
          <w:ilvl w:val="0"/>
          <w:numId w:val="5"/>
        </w:numPr>
        <w:rPr>
          <w:rFonts w:ascii="Arial" w:hAnsi="Arial" w:cs="Arial"/>
        </w:rPr>
      </w:pPr>
      <w:r w:rsidRPr="00A00325">
        <w:rPr>
          <w:rFonts w:ascii="Arial" w:hAnsi="Arial" w:cs="Arial"/>
        </w:rPr>
        <w:t>The massing and form respect the proportions of the dwelling.</w:t>
      </w:r>
    </w:p>
    <w:p w14:paraId="68EEC338" w14:textId="77777777" w:rsidR="00A00325" w:rsidRPr="00A00325" w:rsidRDefault="00A00325" w:rsidP="00A00325">
      <w:pPr>
        <w:numPr>
          <w:ilvl w:val="0"/>
          <w:numId w:val="5"/>
        </w:numPr>
        <w:rPr>
          <w:rFonts w:ascii="Arial" w:hAnsi="Arial" w:cs="Arial"/>
        </w:rPr>
      </w:pPr>
      <w:r w:rsidRPr="00A00325">
        <w:rPr>
          <w:rFonts w:ascii="Arial" w:hAnsi="Arial" w:cs="Arial"/>
        </w:rPr>
        <w:lastRenderedPageBreak/>
        <w:t>The proposal will result in a more coherent and visually improved rear elevation compared with the existing outdated structure.</w:t>
      </w:r>
    </w:p>
    <w:p w14:paraId="2AC42059" w14:textId="77777777" w:rsidR="00A00325" w:rsidRPr="00A00325" w:rsidRDefault="00A00325" w:rsidP="00A00325">
      <w:pPr>
        <w:rPr>
          <w:rFonts w:ascii="Arial" w:hAnsi="Arial" w:cs="Arial"/>
        </w:rPr>
      </w:pPr>
      <w:r w:rsidRPr="00A00325">
        <w:rPr>
          <w:rFonts w:ascii="Arial" w:hAnsi="Arial" w:cs="Arial"/>
        </w:rPr>
        <w:t>The replacement therefore results in a net improvement to design quality.</w:t>
      </w:r>
    </w:p>
    <w:p w14:paraId="4119CA7A" w14:textId="4C9F060B" w:rsidR="00A00325" w:rsidRPr="00A00325" w:rsidRDefault="00A00325" w:rsidP="00A00325">
      <w:pPr>
        <w:rPr>
          <w:rFonts w:ascii="Arial" w:hAnsi="Arial" w:cs="Arial"/>
        </w:rPr>
      </w:pPr>
    </w:p>
    <w:p w14:paraId="1579837D" w14:textId="77777777" w:rsidR="00A00325" w:rsidRPr="00A00325" w:rsidRDefault="00A00325" w:rsidP="00A00325">
      <w:pPr>
        <w:rPr>
          <w:rFonts w:ascii="Arial" w:hAnsi="Arial" w:cs="Arial"/>
          <w:b/>
          <w:bCs/>
        </w:rPr>
      </w:pPr>
      <w:r w:rsidRPr="00A00325">
        <w:rPr>
          <w:rFonts w:ascii="Arial" w:hAnsi="Arial" w:cs="Arial"/>
          <w:b/>
          <w:bCs/>
        </w:rPr>
        <w:t>7. Conclusion</w:t>
      </w:r>
    </w:p>
    <w:p w14:paraId="71B60BBA" w14:textId="77777777" w:rsidR="00A00325" w:rsidRPr="00A00325" w:rsidRDefault="00A00325" w:rsidP="00A00325">
      <w:pPr>
        <w:rPr>
          <w:rFonts w:ascii="Arial" w:hAnsi="Arial" w:cs="Arial"/>
        </w:rPr>
      </w:pPr>
      <w:r w:rsidRPr="00A00325">
        <w:rPr>
          <w:rFonts w:ascii="Arial" w:hAnsi="Arial" w:cs="Arial"/>
        </w:rPr>
        <w:t xml:space="preserve">This Planning Statement demonstrates that the proposed single-storey rear extension complies fully with the criteria set out in </w:t>
      </w:r>
      <w:r w:rsidRPr="00A00325">
        <w:rPr>
          <w:rFonts w:ascii="Arial" w:hAnsi="Arial" w:cs="Arial"/>
          <w:b/>
          <w:bCs/>
        </w:rPr>
        <w:t>Class A of the GPDO</w:t>
      </w:r>
      <w:r w:rsidRPr="00A00325">
        <w:rPr>
          <w:rFonts w:ascii="Arial" w:hAnsi="Arial" w:cs="Arial"/>
        </w:rPr>
        <w:t>. The development is modest, proportionate, and has no harmful effect on neighbouring amenity or the character of the area. It replaces an existing structure with a higher-quality, energy-efficient extension, representing a clear improvement.</w:t>
      </w:r>
    </w:p>
    <w:p w14:paraId="6FECDD0C" w14:textId="77777777" w:rsidR="00A00325" w:rsidRPr="00A00325" w:rsidRDefault="00A00325" w:rsidP="00A00325">
      <w:pPr>
        <w:rPr>
          <w:rFonts w:ascii="Arial" w:hAnsi="Arial" w:cs="Arial"/>
        </w:rPr>
      </w:pPr>
      <w:r w:rsidRPr="00A00325">
        <w:rPr>
          <w:rFonts w:ascii="Arial" w:hAnsi="Arial" w:cs="Arial"/>
        </w:rPr>
        <w:t xml:space="preserve">The proposal is therefore </w:t>
      </w:r>
      <w:r w:rsidRPr="00A00325">
        <w:rPr>
          <w:rFonts w:ascii="Arial" w:hAnsi="Arial" w:cs="Arial"/>
          <w:b/>
          <w:bCs/>
        </w:rPr>
        <w:t>Permitted Development</w:t>
      </w:r>
      <w:r w:rsidRPr="00A00325">
        <w:rPr>
          <w:rFonts w:ascii="Arial" w:hAnsi="Arial" w:cs="Arial"/>
        </w:rPr>
        <w:t xml:space="preserve"> and may be lawfully constructed without the need for a full planning application.</w:t>
      </w:r>
    </w:p>
    <w:p w14:paraId="6CE90693" w14:textId="3EB54EDB" w:rsidR="00A00325" w:rsidRPr="00A00325" w:rsidRDefault="00A00325" w:rsidP="00A00325">
      <w:pPr>
        <w:rPr>
          <w:rFonts w:ascii="Arial" w:hAnsi="Arial" w:cs="Arial"/>
        </w:rPr>
      </w:pPr>
    </w:p>
    <w:p w14:paraId="0EE38DAE" w14:textId="77777777" w:rsidR="00A00325" w:rsidRPr="00A00325" w:rsidRDefault="00A00325" w:rsidP="00A00325">
      <w:pPr>
        <w:rPr>
          <w:rFonts w:ascii="Arial" w:hAnsi="Arial" w:cs="Arial"/>
          <w:vanish/>
        </w:rPr>
      </w:pPr>
      <w:r w:rsidRPr="00A00325">
        <w:rPr>
          <w:rFonts w:ascii="Arial" w:hAnsi="Arial" w:cs="Arial"/>
          <w:vanish/>
        </w:rPr>
        <w:t>Bottom of Form</w:t>
      </w:r>
    </w:p>
    <w:p w14:paraId="3C51D011" w14:textId="77777777" w:rsidR="00032E2A" w:rsidRPr="004E1337" w:rsidRDefault="00032E2A" w:rsidP="004E1337">
      <w:pPr>
        <w:rPr>
          <w:rFonts w:ascii="Arial" w:hAnsi="Arial" w:cs="Arial"/>
        </w:rPr>
      </w:pPr>
    </w:p>
    <w:p w14:paraId="41BB010D" w14:textId="77777777" w:rsidR="007E61BE" w:rsidRDefault="007E61BE"/>
    <w:sectPr w:rsidR="007E61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BF4"/>
    <w:multiLevelType w:val="multilevel"/>
    <w:tmpl w:val="785489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2C240C"/>
    <w:multiLevelType w:val="multilevel"/>
    <w:tmpl w:val="3998F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83FDB"/>
    <w:multiLevelType w:val="multilevel"/>
    <w:tmpl w:val="0D9E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014092"/>
    <w:multiLevelType w:val="multilevel"/>
    <w:tmpl w:val="C49E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CF68D6"/>
    <w:multiLevelType w:val="multilevel"/>
    <w:tmpl w:val="539E4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8053065">
    <w:abstractNumId w:val="2"/>
  </w:num>
  <w:num w:numId="2" w16cid:durableId="1525483604">
    <w:abstractNumId w:val="1"/>
  </w:num>
  <w:num w:numId="3" w16cid:durableId="969440945">
    <w:abstractNumId w:val="0"/>
  </w:num>
  <w:num w:numId="4" w16cid:durableId="1482574371">
    <w:abstractNumId w:val="3"/>
  </w:num>
  <w:num w:numId="5" w16cid:durableId="1256354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989"/>
    <w:rsid w:val="00032E2A"/>
    <w:rsid w:val="00184D79"/>
    <w:rsid w:val="00230989"/>
    <w:rsid w:val="00326F52"/>
    <w:rsid w:val="004E1337"/>
    <w:rsid w:val="00575764"/>
    <w:rsid w:val="00632D4E"/>
    <w:rsid w:val="007E61BE"/>
    <w:rsid w:val="009335EA"/>
    <w:rsid w:val="00966DA1"/>
    <w:rsid w:val="00991833"/>
    <w:rsid w:val="009D13DB"/>
    <w:rsid w:val="00A00325"/>
    <w:rsid w:val="00C430E7"/>
    <w:rsid w:val="00C678EB"/>
    <w:rsid w:val="00EB3298"/>
    <w:rsid w:val="00EC0E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74444"/>
  <w15:chartTrackingRefBased/>
  <w15:docId w15:val="{BEFDE712-4537-4BB9-A73B-4630ED4A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9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9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9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9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9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9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9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9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9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9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9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9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9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9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9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9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9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989"/>
    <w:rPr>
      <w:rFonts w:eastAsiaTheme="majorEastAsia" w:cstheme="majorBidi"/>
      <w:color w:val="272727" w:themeColor="text1" w:themeTint="D8"/>
    </w:rPr>
  </w:style>
  <w:style w:type="paragraph" w:styleId="Title">
    <w:name w:val="Title"/>
    <w:basedOn w:val="Normal"/>
    <w:next w:val="Normal"/>
    <w:link w:val="TitleChar"/>
    <w:uiPriority w:val="10"/>
    <w:qFormat/>
    <w:rsid w:val="00230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9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9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9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989"/>
    <w:pPr>
      <w:spacing w:before="160"/>
      <w:jc w:val="center"/>
    </w:pPr>
    <w:rPr>
      <w:i/>
      <w:iCs/>
      <w:color w:val="404040" w:themeColor="text1" w:themeTint="BF"/>
    </w:rPr>
  </w:style>
  <w:style w:type="character" w:customStyle="1" w:styleId="QuoteChar">
    <w:name w:val="Quote Char"/>
    <w:basedOn w:val="DefaultParagraphFont"/>
    <w:link w:val="Quote"/>
    <w:uiPriority w:val="29"/>
    <w:rsid w:val="00230989"/>
    <w:rPr>
      <w:i/>
      <w:iCs/>
      <w:color w:val="404040" w:themeColor="text1" w:themeTint="BF"/>
    </w:rPr>
  </w:style>
  <w:style w:type="paragraph" w:styleId="ListParagraph">
    <w:name w:val="List Paragraph"/>
    <w:basedOn w:val="Normal"/>
    <w:uiPriority w:val="34"/>
    <w:qFormat/>
    <w:rsid w:val="00230989"/>
    <w:pPr>
      <w:ind w:left="720"/>
      <w:contextualSpacing/>
    </w:pPr>
  </w:style>
  <w:style w:type="character" w:styleId="IntenseEmphasis">
    <w:name w:val="Intense Emphasis"/>
    <w:basedOn w:val="DefaultParagraphFont"/>
    <w:uiPriority w:val="21"/>
    <w:qFormat/>
    <w:rsid w:val="00230989"/>
    <w:rPr>
      <w:i/>
      <w:iCs/>
      <w:color w:val="0F4761" w:themeColor="accent1" w:themeShade="BF"/>
    </w:rPr>
  </w:style>
  <w:style w:type="paragraph" w:styleId="IntenseQuote">
    <w:name w:val="Intense Quote"/>
    <w:basedOn w:val="Normal"/>
    <w:next w:val="Normal"/>
    <w:link w:val="IntenseQuoteChar"/>
    <w:uiPriority w:val="30"/>
    <w:qFormat/>
    <w:rsid w:val="002309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989"/>
    <w:rPr>
      <w:i/>
      <w:iCs/>
      <w:color w:val="0F4761" w:themeColor="accent1" w:themeShade="BF"/>
    </w:rPr>
  </w:style>
  <w:style w:type="character" w:styleId="IntenseReference">
    <w:name w:val="Intense Reference"/>
    <w:basedOn w:val="DefaultParagraphFont"/>
    <w:uiPriority w:val="32"/>
    <w:qFormat/>
    <w:rsid w:val="002309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85824">
      <w:bodyDiv w:val="1"/>
      <w:marLeft w:val="0"/>
      <w:marRight w:val="0"/>
      <w:marTop w:val="0"/>
      <w:marBottom w:val="0"/>
      <w:divBdr>
        <w:top w:val="none" w:sz="0" w:space="0" w:color="auto"/>
        <w:left w:val="none" w:sz="0" w:space="0" w:color="auto"/>
        <w:bottom w:val="none" w:sz="0" w:space="0" w:color="auto"/>
        <w:right w:val="none" w:sz="0" w:space="0" w:color="auto"/>
      </w:divBdr>
    </w:div>
    <w:div w:id="78913859">
      <w:bodyDiv w:val="1"/>
      <w:marLeft w:val="0"/>
      <w:marRight w:val="0"/>
      <w:marTop w:val="0"/>
      <w:marBottom w:val="0"/>
      <w:divBdr>
        <w:top w:val="none" w:sz="0" w:space="0" w:color="auto"/>
        <w:left w:val="none" w:sz="0" w:space="0" w:color="auto"/>
        <w:bottom w:val="none" w:sz="0" w:space="0" w:color="auto"/>
        <w:right w:val="none" w:sz="0" w:space="0" w:color="auto"/>
      </w:divBdr>
      <w:divsChild>
        <w:div w:id="581985858">
          <w:marLeft w:val="0"/>
          <w:marRight w:val="0"/>
          <w:marTop w:val="0"/>
          <w:marBottom w:val="0"/>
          <w:divBdr>
            <w:top w:val="none" w:sz="0" w:space="0" w:color="auto"/>
            <w:left w:val="none" w:sz="0" w:space="0" w:color="auto"/>
            <w:bottom w:val="none" w:sz="0" w:space="0" w:color="auto"/>
            <w:right w:val="none" w:sz="0" w:space="0" w:color="auto"/>
          </w:divBdr>
          <w:divsChild>
            <w:div w:id="1292782918">
              <w:marLeft w:val="0"/>
              <w:marRight w:val="0"/>
              <w:marTop w:val="0"/>
              <w:marBottom w:val="0"/>
              <w:divBdr>
                <w:top w:val="none" w:sz="0" w:space="0" w:color="auto"/>
                <w:left w:val="none" w:sz="0" w:space="0" w:color="auto"/>
                <w:bottom w:val="none" w:sz="0" w:space="0" w:color="auto"/>
                <w:right w:val="none" w:sz="0" w:space="0" w:color="auto"/>
              </w:divBdr>
              <w:divsChild>
                <w:div w:id="183633942">
                  <w:marLeft w:val="0"/>
                  <w:marRight w:val="0"/>
                  <w:marTop w:val="0"/>
                  <w:marBottom w:val="0"/>
                  <w:divBdr>
                    <w:top w:val="none" w:sz="0" w:space="0" w:color="auto"/>
                    <w:left w:val="none" w:sz="0" w:space="0" w:color="auto"/>
                    <w:bottom w:val="none" w:sz="0" w:space="0" w:color="auto"/>
                    <w:right w:val="none" w:sz="0" w:space="0" w:color="auto"/>
                  </w:divBdr>
                  <w:divsChild>
                    <w:div w:id="2071463640">
                      <w:marLeft w:val="0"/>
                      <w:marRight w:val="0"/>
                      <w:marTop w:val="0"/>
                      <w:marBottom w:val="0"/>
                      <w:divBdr>
                        <w:top w:val="none" w:sz="0" w:space="0" w:color="auto"/>
                        <w:left w:val="none" w:sz="0" w:space="0" w:color="auto"/>
                        <w:bottom w:val="none" w:sz="0" w:space="0" w:color="auto"/>
                        <w:right w:val="none" w:sz="0" w:space="0" w:color="auto"/>
                      </w:divBdr>
                      <w:divsChild>
                        <w:div w:id="1003314693">
                          <w:marLeft w:val="0"/>
                          <w:marRight w:val="0"/>
                          <w:marTop w:val="0"/>
                          <w:marBottom w:val="0"/>
                          <w:divBdr>
                            <w:top w:val="none" w:sz="0" w:space="0" w:color="auto"/>
                            <w:left w:val="none" w:sz="0" w:space="0" w:color="auto"/>
                            <w:bottom w:val="none" w:sz="0" w:space="0" w:color="auto"/>
                            <w:right w:val="none" w:sz="0" w:space="0" w:color="auto"/>
                          </w:divBdr>
                          <w:divsChild>
                            <w:div w:id="574239869">
                              <w:marLeft w:val="0"/>
                              <w:marRight w:val="0"/>
                              <w:marTop w:val="0"/>
                              <w:marBottom w:val="0"/>
                              <w:divBdr>
                                <w:top w:val="none" w:sz="0" w:space="0" w:color="auto"/>
                                <w:left w:val="none" w:sz="0" w:space="0" w:color="auto"/>
                                <w:bottom w:val="none" w:sz="0" w:space="0" w:color="auto"/>
                                <w:right w:val="none" w:sz="0" w:space="0" w:color="auto"/>
                              </w:divBdr>
                              <w:divsChild>
                                <w:div w:id="801072776">
                                  <w:marLeft w:val="0"/>
                                  <w:marRight w:val="0"/>
                                  <w:marTop w:val="0"/>
                                  <w:marBottom w:val="0"/>
                                  <w:divBdr>
                                    <w:top w:val="none" w:sz="0" w:space="0" w:color="auto"/>
                                    <w:left w:val="none" w:sz="0" w:space="0" w:color="auto"/>
                                    <w:bottom w:val="none" w:sz="0" w:space="0" w:color="auto"/>
                                    <w:right w:val="none" w:sz="0" w:space="0" w:color="auto"/>
                                  </w:divBdr>
                                  <w:divsChild>
                                    <w:div w:id="28262586">
                                      <w:marLeft w:val="0"/>
                                      <w:marRight w:val="0"/>
                                      <w:marTop w:val="0"/>
                                      <w:marBottom w:val="0"/>
                                      <w:divBdr>
                                        <w:top w:val="none" w:sz="0" w:space="0" w:color="auto"/>
                                        <w:left w:val="none" w:sz="0" w:space="0" w:color="auto"/>
                                        <w:bottom w:val="none" w:sz="0" w:space="0" w:color="auto"/>
                                        <w:right w:val="none" w:sz="0" w:space="0" w:color="auto"/>
                                      </w:divBdr>
                                      <w:divsChild>
                                        <w:div w:id="1392391265">
                                          <w:marLeft w:val="0"/>
                                          <w:marRight w:val="0"/>
                                          <w:marTop w:val="0"/>
                                          <w:marBottom w:val="0"/>
                                          <w:divBdr>
                                            <w:top w:val="none" w:sz="0" w:space="0" w:color="auto"/>
                                            <w:left w:val="none" w:sz="0" w:space="0" w:color="auto"/>
                                            <w:bottom w:val="none" w:sz="0" w:space="0" w:color="auto"/>
                                            <w:right w:val="none" w:sz="0" w:space="0" w:color="auto"/>
                                          </w:divBdr>
                                          <w:divsChild>
                                            <w:div w:id="3456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3069047">
          <w:marLeft w:val="0"/>
          <w:marRight w:val="0"/>
          <w:marTop w:val="0"/>
          <w:marBottom w:val="0"/>
          <w:divBdr>
            <w:top w:val="none" w:sz="0" w:space="0" w:color="auto"/>
            <w:left w:val="none" w:sz="0" w:space="0" w:color="auto"/>
            <w:bottom w:val="none" w:sz="0" w:space="0" w:color="auto"/>
            <w:right w:val="none" w:sz="0" w:space="0" w:color="auto"/>
          </w:divBdr>
          <w:divsChild>
            <w:div w:id="873428022">
              <w:marLeft w:val="0"/>
              <w:marRight w:val="0"/>
              <w:marTop w:val="0"/>
              <w:marBottom w:val="0"/>
              <w:divBdr>
                <w:top w:val="none" w:sz="0" w:space="0" w:color="auto"/>
                <w:left w:val="none" w:sz="0" w:space="0" w:color="auto"/>
                <w:bottom w:val="none" w:sz="0" w:space="0" w:color="auto"/>
                <w:right w:val="none" w:sz="0" w:space="0" w:color="auto"/>
              </w:divBdr>
              <w:divsChild>
                <w:div w:id="2129395797">
                  <w:marLeft w:val="0"/>
                  <w:marRight w:val="0"/>
                  <w:marTop w:val="0"/>
                  <w:marBottom w:val="0"/>
                  <w:divBdr>
                    <w:top w:val="none" w:sz="0" w:space="0" w:color="auto"/>
                    <w:left w:val="none" w:sz="0" w:space="0" w:color="auto"/>
                    <w:bottom w:val="none" w:sz="0" w:space="0" w:color="auto"/>
                    <w:right w:val="none" w:sz="0" w:space="0" w:color="auto"/>
                  </w:divBdr>
                  <w:divsChild>
                    <w:div w:id="1991789423">
                      <w:marLeft w:val="0"/>
                      <w:marRight w:val="0"/>
                      <w:marTop w:val="0"/>
                      <w:marBottom w:val="0"/>
                      <w:divBdr>
                        <w:top w:val="none" w:sz="0" w:space="0" w:color="auto"/>
                        <w:left w:val="none" w:sz="0" w:space="0" w:color="auto"/>
                        <w:bottom w:val="none" w:sz="0" w:space="0" w:color="auto"/>
                        <w:right w:val="none" w:sz="0" w:space="0" w:color="auto"/>
                      </w:divBdr>
                      <w:divsChild>
                        <w:div w:id="735013238">
                          <w:marLeft w:val="0"/>
                          <w:marRight w:val="0"/>
                          <w:marTop w:val="0"/>
                          <w:marBottom w:val="0"/>
                          <w:divBdr>
                            <w:top w:val="none" w:sz="0" w:space="0" w:color="auto"/>
                            <w:left w:val="none" w:sz="0" w:space="0" w:color="auto"/>
                            <w:bottom w:val="none" w:sz="0" w:space="0" w:color="auto"/>
                            <w:right w:val="none" w:sz="0" w:space="0" w:color="auto"/>
                          </w:divBdr>
                          <w:divsChild>
                            <w:div w:id="1621763132">
                              <w:marLeft w:val="0"/>
                              <w:marRight w:val="0"/>
                              <w:marTop w:val="0"/>
                              <w:marBottom w:val="0"/>
                              <w:divBdr>
                                <w:top w:val="none" w:sz="0" w:space="0" w:color="auto"/>
                                <w:left w:val="none" w:sz="0" w:space="0" w:color="auto"/>
                                <w:bottom w:val="none" w:sz="0" w:space="0" w:color="auto"/>
                                <w:right w:val="none" w:sz="0" w:space="0" w:color="auto"/>
                              </w:divBdr>
                              <w:divsChild>
                                <w:div w:id="44646777">
                                  <w:marLeft w:val="0"/>
                                  <w:marRight w:val="0"/>
                                  <w:marTop w:val="0"/>
                                  <w:marBottom w:val="0"/>
                                  <w:divBdr>
                                    <w:top w:val="none" w:sz="0" w:space="0" w:color="auto"/>
                                    <w:left w:val="none" w:sz="0" w:space="0" w:color="auto"/>
                                    <w:bottom w:val="none" w:sz="0" w:space="0" w:color="auto"/>
                                    <w:right w:val="none" w:sz="0" w:space="0" w:color="auto"/>
                                  </w:divBdr>
                                  <w:divsChild>
                                    <w:div w:id="1796563087">
                                      <w:marLeft w:val="0"/>
                                      <w:marRight w:val="0"/>
                                      <w:marTop w:val="0"/>
                                      <w:marBottom w:val="0"/>
                                      <w:divBdr>
                                        <w:top w:val="none" w:sz="0" w:space="0" w:color="auto"/>
                                        <w:left w:val="none" w:sz="0" w:space="0" w:color="auto"/>
                                        <w:bottom w:val="none" w:sz="0" w:space="0" w:color="auto"/>
                                        <w:right w:val="none" w:sz="0" w:space="0" w:color="auto"/>
                                      </w:divBdr>
                                      <w:divsChild>
                                        <w:div w:id="447117290">
                                          <w:marLeft w:val="0"/>
                                          <w:marRight w:val="0"/>
                                          <w:marTop w:val="0"/>
                                          <w:marBottom w:val="0"/>
                                          <w:divBdr>
                                            <w:top w:val="none" w:sz="0" w:space="0" w:color="auto"/>
                                            <w:left w:val="none" w:sz="0" w:space="0" w:color="auto"/>
                                            <w:bottom w:val="none" w:sz="0" w:space="0" w:color="auto"/>
                                            <w:right w:val="none" w:sz="0" w:space="0" w:color="auto"/>
                                          </w:divBdr>
                                          <w:divsChild>
                                            <w:div w:id="42869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7017156">
      <w:bodyDiv w:val="1"/>
      <w:marLeft w:val="0"/>
      <w:marRight w:val="0"/>
      <w:marTop w:val="0"/>
      <w:marBottom w:val="0"/>
      <w:divBdr>
        <w:top w:val="none" w:sz="0" w:space="0" w:color="auto"/>
        <w:left w:val="none" w:sz="0" w:space="0" w:color="auto"/>
        <w:bottom w:val="none" w:sz="0" w:space="0" w:color="auto"/>
        <w:right w:val="none" w:sz="0" w:space="0" w:color="auto"/>
      </w:divBdr>
    </w:div>
    <w:div w:id="477110498">
      <w:bodyDiv w:val="1"/>
      <w:marLeft w:val="0"/>
      <w:marRight w:val="0"/>
      <w:marTop w:val="0"/>
      <w:marBottom w:val="0"/>
      <w:divBdr>
        <w:top w:val="none" w:sz="0" w:space="0" w:color="auto"/>
        <w:left w:val="none" w:sz="0" w:space="0" w:color="auto"/>
        <w:bottom w:val="none" w:sz="0" w:space="0" w:color="auto"/>
        <w:right w:val="none" w:sz="0" w:space="0" w:color="auto"/>
      </w:divBdr>
      <w:divsChild>
        <w:div w:id="2069260308">
          <w:marLeft w:val="0"/>
          <w:marRight w:val="0"/>
          <w:marTop w:val="0"/>
          <w:marBottom w:val="0"/>
          <w:divBdr>
            <w:top w:val="none" w:sz="0" w:space="0" w:color="auto"/>
            <w:left w:val="none" w:sz="0" w:space="0" w:color="auto"/>
            <w:bottom w:val="none" w:sz="0" w:space="0" w:color="auto"/>
            <w:right w:val="none" w:sz="0" w:space="0" w:color="auto"/>
          </w:divBdr>
          <w:divsChild>
            <w:div w:id="120151006">
              <w:marLeft w:val="0"/>
              <w:marRight w:val="0"/>
              <w:marTop w:val="0"/>
              <w:marBottom w:val="0"/>
              <w:divBdr>
                <w:top w:val="none" w:sz="0" w:space="0" w:color="auto"/>
                <w:left w:val="none" w:sz="0" w:space="0" w:color="auto"/>
                <w:bottom w:val="none" w:sz="0" w:space="0" w:color="auto"/>
                <w:right w:val="none" w:sz="0" w:space="0" w:color="auto"/>
              </w:divBdr>
              <w:divsChild>
                <w:div w:id="696199421">
                  <w:marLeft w:val="0"/>
                  <w:marRight w:val="0"/>
                  <w:marTop w:val="0"/>
                  <w:marBottom w:val="0"/>
                  <w:divBdr>
                    <w:top w:val="none" w:sz="0" w:space="0" w:color="auto"/>
                    <w:left w:val="none" w:sz="0" w:space="0" w:color="auto"/>
                    <w:bottom w:val="none" w:sz="0" w:space="0" w:color="auto"/>
                    <w:right w:val="none" w:sz="0" w:space="0" w:color="auto"/>
                  </w:divBdr>
                  <w:divsChild>
                    <w:div w:id="268898847">
                      <w:marLeft w:val="0"/>
                      <w:marRight w:val="0"/>
                      <w:marTop w:val="0"/>
                      <w:marBottom w:val="0"/>
                      <w:divBdr>
                        <w:top w:val="none" w:sz="0" w:space="0" w:color="auto"/>
                        <w:left w:val="none" w:sz="0" w:space="0" w:color="auto"/>
                        <w:bottom w:val="none" w:sz="0" w:space="0" w:color="auto"/>
                        <w:right w:val="none" w:sz="0" w:space="0" w:color="auto"/>
                      </w:divBdr>
                      <w:divsChild>
                        <w:div w:id="766120645">
                          <w:marLeft w:val="0"/>
                          <w:marRight w:val="0"/>
                          <w:marTop w:val="0"/>
                          <w:marBottom w:val="0"/>
                          <w:divBdr>
                            <w:top w:val="none" w:sz="0" w:space="0" w:color="auto"/>
                            <w:left w:val="none" w:sz="0" w:space="0" w:color="auto"/>
                            <w:bottom w:val="none" w:sz="0" w:space="0" w:color="auto"/>
                            <w:right w:val="none" w:sz="0" w:space="0" w:color="auto"/>
                          </w:divBdr>
                          <w:divsChild>
                            <w:div w:id="1411922245">
                              <w:marLeft w:val="0"/>
                              <w:marRight w:val="0"/>
                              <w:marTop w:val="0"/>
                              <w:marBottom w:val="0"/>
                              <w:divBdr>
                                <w:top w:val="none" w:sz="0" w:space="0" w:color="auto"/>
                                <w:left w:val="none" w:sz="0" w:space="0" w:color="auto"/>
                                <w:bottom w:val="none" w:sz="0" w:space="0" w:color="auto"/>
                                <w:right w:val="none" w:sz="0" w:space="0" w:color="auto"/>
                              </w:divBdr>
                              <w:divsChild>
                                <w:div w:id="773675930">
                                  <w:marLeft w:val="0"/>
                                  <w:marRight w:val="0"/>
                                  <w:marTop w:val="0"/>
                                  <w:marBottom w:val="0"/>
                                  <w:divBdr>
                                    <w:top w:val="none" w:sz="0" w:space="0" w:color="auto"/>
                                    <w:left w:val="none" w:sz="0" w:space="0" w:color="auto"/>
                                    <w:bottom w:val="none" w:sz="0" w:space="0" w:color="auto"/>
                                    <w:right w:val="none" w:sz="0" w:space="0" w:color="auto"/>
                                  </w:divBdr>
                                  <w:divsChild>
                                    <w:div w:id="1006397415">
                                      <w:marLeft w:val="0"/>
                                      <w:marRight w:val="0"/>
                                      <w:marTop w:val="0"/>
                                      <w:marBottom w:val="0"/>
                                      <w:divBdr>
                                        <w:top w:val="none" w:sz="0" w:space="0" w:color="auto"/>
                                        <w:left w:val="none" w:sz="0" w:space="0" w:color="auto"/>
                                        <w:bottom w:val="none" w:sz="0" w:space="0" w:color="auto"/>
                                        <w:right w:val="none" w:sz="0" w:space="0" w:color="auto"/>
                                      </w:divBdr>
                                      <w:divsChild>
                                        <w:div w:id="1939831591">
                                          <w:marLeft w:val="0"/>
                                          <w:marRight w:val="0"/>
                                          <w:marTop w:val="0"/>
                                          <w:marBottom w:val="0"/>
                                          <w:divBdr>
                                            <w:top w:val="none" w:sz="0" w:space="0" w:color="auto"/>
                                            <w:left w:val="none" w:sz="0" w:space="0" w:color="auto"/>
                                            <w:bottom w:val="none" w:sz="0" w:space="0" w:color="auto"/>
                                            <w:right w:val="none" w:sz="0" w:space="0" w:color="auto"/>
                                          </w:divBdr>
                                          <w:divsChild>
                                            <w:div w:id="197401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9419637">
          <w:marLeft w:val="0"/>
          <w:marRight w:val="0"/>
          <w:marTop w:val="0"/>
          <w:marBottom w:val="0"/>
          <w:divBdr>
            <w:top w:val="none" w:sz="0" w:space="0" w:color="auto"/>
            <w:left w:val="none" w:sz="0" w:space="0" w:color="auto"/>
            <w:bottom w:val="none" w:sz="0" w:space="0" w:color="auto"/>
            <w:right w:val="none" w:sz="0" w:space="0" w:color="auto"/>
          </w:divBdr>
          <w:divsChild>
            <w:div w:id="1922719514">
              <w:marLeft w:val="0"/>
              <w:marRight w:val="0"/>
              <w:marTop w:val="0"/>
              <w:marBottom w:val="0"/>
              <w:divBdr>
                <w:top w:val="none" w:sz="0" w:space="0" w:color="auto"/>
                <w:left w:val="none" w:sz="0" w:space="0" w:color="auto"/>
                <w:bottom w:val="none" w:sz="0" w:space="0" w:color="auto"/>
                <w:right w:val="none" w:sz="0" w:space="0" w:color="auto"/>
              </w:divBdr>
              <w:divsChild>
                <w:div w:id="1040592535">
                  <w:marLeft w:val="0"/>
                  <w:marRight w:val="0"/>
                  <w:marTop w:val="0"/>
                  <w:marBottom w:val="0"/>
                  <w:divBdr>
                    <w:top w:val="none" w:sz="0" w:space="0" w:color="auto"/>
                    <w:left w:val="none" w:sz="0" w:space="0" w:color="auto"/>
                    <w:bottom w:val="none" w:sz="0" w:space="0" w:color="auto"/>
                    <w:right w:val="none" w:sz="0" w:space="0" w:color="auto"/>
                  </w:divBdr>
                  <w:divsChild>
                    <w:div w:id="548028242">
                      <w:marLeft w:val="0"/>
                      <w:marRight w:val="0"/>
                      <w:marTop w:val="0"/>
                      <w:marBottom w:val="0"/>
                      <w:divBdr>
                        <w:top w:val="none" w:sz="0" w:space="0" w:color="auto"/>
                        <w:left w:val="none" w:sz="0" w:space="0" w:color="auto"/>
                        <w:bottom w:val="none" w:sz="0" w:space="0" w:color="auto"/>
                        <w:right w:val="none" w:sz="0" w:space="0" w:color="auto"/>
                      </w:divBdr>
                      <w:divsChild>
                        <w:div w:id="979381552">
                          <w:marLeft w:val="0"/>
                          <w:marRight w:val="0"/>
                          <w:marTop w:val="0"/>
                          <w:marBottom w:val="0"/>
                          <w:divBdr>
                            <w:top w:val="none" w:sz="0" w:space="0" w:color="auto"/>
                            <w:left w:val="none" w:sz="0" w:space="0" w:color="auto"/>
                            <w:bottom w:val="none" w:sz="0" w:space="0" w:color="auto"/>
                            <w:right w:val="none" w:sz="0" w:space="0" w:color="auto"/>
                          </w:divBdr>
                          <w:divsChild>
                            <w:div w:id="501627829">
                              <w:marLeft w:val="0"/>
                              <w:marRight w:val="0"/>
                              <w:marTop w:val="0"/>
                              <w:marBottom w:val="0"/>
                              <w:divBdr>
                                <w:top w:val="none" w:sz="0" w:space="0" w:color="auto"/>
                                <w:left w:val="none" w:sz="0" w:space="0" w:color="auto"/>
                                <w:bottom w:val="none" w:sz="0" w:space="0" w:color="auto"/>
                                <w:right w:val="none" w:sz="0" w:space="0" w:color="auto"/>
                              </w:divBdr>
                              <w:divsChild>
                                <w:div w:id="88696263">
                                  <w:marLeft w:val="0"/>
                                  <w:marRight w:val="0"/>
                                  <w:marTop w:val="0"/>
                                  <w:marBottom w:val="0"/>
                                  <w:divBdr>
                                    <w:top w:val="none" w:sz="0" w:space="0" w:color="auto"/>
                                    <w:left w:val="none" w:sz="0" w:space="0" w:color="auto"/>
                                    <w:bottom w:val="none" w:sz="0" w:space="0" w:color="auto"/>
                                    <w:right w:val="none" w:sz="0" w:space="0" w:color="auto"/>
                                  </w:divBdr>
                                  <w:divsChild>
                                    <w:div w:id="1973630566">
                                      <w:marLeft w:val="0"/>
                                      <w:marRight w:val="0"/>
                                      <w:marTop w:val="0"/>
                                      <w:marBottom w:val="0"/>
                                      <w:divBdr>
                                        <w:top w:val="none" w:sz="0" w:space="0" w:color="auto"/>
                                        <w:left w:val="none" w:sz="0" w:space="0" w:color="auto"/>
                                        <w:bottom w:val="none" w:sz="0" w:space="0" w:color="auto"/>
                                        <w:right w:val="none" w:sz="0" w:space="0" w:color="auto"/>
                                      </w:divBdr>
                                      <w:divsChild>
                                        <w:div w:id="722338052">
                                          <w:marLeft w:val="0"/>
                                          <w:marRight w:val="0"/>
                                          <w:marTop w:val="0"/>
                                          <w:marBottom w:val="0"/>
                                          <w:divBdr>
                                            <w:top w:val="none" w:sz="0" w:space="0" w:color="auto"/>
                                            <w:left w:val="none" w:sz="0" w:space="0" w:color="auto"/>
                                            <w:bottom w:val="none" w:sz="0" w:space="0" w:color="auto"/>
                                            <w:right w:val="none" w:sz="0" w:space="0" w:color="auto"/>
                                          </w:divBdr>
                                          <w:divsChild>
                                            <w:div w:id="197001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0826492">
      <w:bodyDiv w:val="1"/>
      <w:marLeft w:val="0"/>
      <w:marRight w:val="0"/>
      <w:marTop w:val="0"/>
      <w:marBottom w:val="0"/>
      <w:divBdr>
        <w:top w:val="none" w:sz="0" w:space="0" w:color="auto"/>
        <w:left w:val="none" w:sz="0" w:space="0" w:color="auto"/>
        <w:bottom w:val="none" w:sz="0" w:space="0" w:color="auto"/>
        <w:right w:val="none" w:sz="0" w:space="0" w:color="auto"/>
      </w:divBdr>
    </w:div>
    <w:div w:id="716051606">
      <w:bodyDiv w:val="1"/>
      <w:marLeft w:val="0"/>
      <w:marRight w:val="0"/>
      <w:marTop w:val="0"/>
      <w:marBottom w:val="0"/>
      <w:divBdr>
        <w:top w:val="none" w:sz="0" w:space="0" w:color="auto"/>
        <w:left w:val="none" w:sz="0" w:space="0" w:color="auto"/>
        <w:bottom w:val="none" w:sz="0" w:space="0" w:color="auto"/>
        <w:right w:val="none" w:sz="0" w:space="0" w:color="auto"/>
      </w:divBdr>
    </w:div>
    <w:div w:id="924844372">
      <w:bodyDiv w:val="1"/>
      <w:marLeft w:val="0"/>
      <w:marRight w:val="0"/>
      <w:marTop w:val="0"/>
      <w:marBottom w:val="0"/>
      <w:divBdr>
        <w:top w:val="none" w:sz="0" w:space="0" w:color="auto"/>
        <w:left w:val="none" w:sz="0" w:space="0" w:color="auto"/>
        <w:bottom w:val="none" w:sz="0" w:space="0" w:color="auto"/>
        <w:right w:val="none" w:sz="0" w:space="0" w:color="auto"/>
      </w:divBdr>
    </w:div>
    <w:div w:id="158650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Planning Statement</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148C1DB3-35F0-419C-BA9F-5365E6F363C9}"/>
</file>

<file path=customXml/itemProps2.xml><?xml version="1.0" encoding="utf-8"?>
<ds:datastoreItem xmlns:ds="http://schemas.openxmlformats.org/officeDocument/2006/customXml" ds:itemID="{89DE25E1-E176-4F6D-8DC7-3F08FE9F49B1}"/>
</file>

<file path=customXml/itemProps3.xml><?xml version="1.0" encoding="utf-8"?>
<ds:datastoreItem xmlns:ds="http://schemas.openxmlformats.org/officeDocument/2006/customXml" ds:itemID="{A9DC8494-A5D8-4FA7-9DE2-497363A5080B}"/>
</file>

<file path=docProps/app.xml><?xml version="1.0" encoding="utf-8"?>
<Properties xmlns="http://schemas.openxmlformats.org/officeDocument/2006/extended-properties" xmlns:vt="http://schemas.openxmlformats.org/officeDocument/2006/docPropsVTypes">
  <Template>Normal</Template>
  <TotalTime>24</TotalTime>
  <Pages>3</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Smith</dc:creator>
  <cp:keywords/>
  <dc:description/>
  <cp:lastModifiedBy>Andrew Smith</cp:lastModifiedBy>
  <cp:revision>3</cp:revision>
  <dcterms:created xsi:type="dcterms:W3CDTF">2025-12-01T09:32:00Z</dcterms:created>
  <dcterms:modified xsi:type="dcterms:W3CDTF">2025-12-01T09:55:00Z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y fmtid="{D5CDD505-2E9C-101B-9397-08002B2CF9AE}" pid="5" name="docLang">
    <vt:lpwstr>en</vt:lpwstr>
  </property>
</Properties>
</file>