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pkgRId0"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333333"/>
          <w:spacing w:val="0"/>
          <w:position w:val="0"/>
          <w:sz w:val="36"/>
          <w:shd w:fill="auto" w:val="clear"/>
        </w:rPr>
      </w:pPr>
    </w:p>
    <w:p>
      <w:pPr>
        <w:spacing w:before="0" w:after="160" w:line="259"/>
        <w:ind w:right="0" w:left="0" w:firstLine="0"/>
        <w:jc w:val="left"/>
        <w:rPr>
          <w:rFonts w:ascii="Calibri" w:hAnsi="Calibri" w:cs="Calibri" w:eastAsia="Calibri"/>
          <w:color w:val="333333"/>
          <w:spacing w:val="0"/>
          <w:position w:val="0"/>
          <w:sz w:val="36"/>
          <w:shd w:fill="auto" w:val="clear"/>
        </w:rPr>
      </w:pPr>
    </w:p>
    <w:p>
      <w:pPr>
        <w:spacing w:before="0" w:after="160" w:line="259"/>
        <w:ind w:right="0" w:left="0" w:firstLine="0"/>
        <w:jc w:val="left"/>
        <w:rPr>
          <w:rFonts w:ascii="Calibri" w:hAnsi="Calibri" w:cs="Calibri" w:eastAsia="Calibri"/>
          <w:color w:val="333333"/>
          <w:spacing w:val="0"/>
          <w:position w:val="0"/>
          <w:sz w:val="36"/>
          <w:shd w:fill="auto" w:val="clear"/>
        </w:rPr>
      </w:pPr>
    </w:p>
    <w:p>
      <w:pPr>
        <w:spacing w:before="0" w:after="160" w:line="360"/>
        <w:ind w:right="0" w:left="0" w:firstLine="0"/>
        <w:jc w:val="left"/>
        <w:rPr>
          <w:rFonts w:ascii="Calibri" w:hAnsi="Calibri" w:cs="Calibri" w:eastAsia="Calibri"/>
          <w:color w:val="333333"/>
          <w:spacing w:val="0"/>
          <w:position w:val="0"/>
          <w:sz w:val="36"/>
          <w:shd w:fill="auto" w:val="clear"/>
        </w:rPr>
      </w:pPr>
      <w:r>
        <w:rPr>
          <w:rFonts w:ascii="Calibri" w:hAnsi="Calibri" w:cs="Calibri" w:eastAsia="Calibri"/>
          <w:color w:val="333333"/>
          <w:spacing w:val="0"/>
          <w:position w:val="0"/>
          <w:sz w:val="36"/>
          <w:shd w:fill="auto" w:val="clear"/>
        </w:rPr>
        <w:t xml:space="preserve">Heritage Statement</w:t>
      </w:r>
    </w:p>
    <w:p>
      <w:pPr>
        <w:spacing w:before="0" w:after="160" w:line="360"/>
        <w:ind w:right="0" w:left="0" w:firstLine="0"/>
        <w:jc w:val="left"/>
        <w:rPr>
          <w:rFonts w:ascii="Calibri" w:hAnsi="Calibri" w:cs="Calibri" w:eastAsia="Calibri"/>
          <w:color w:val="333333"/>
          <w:spacing w:val="0"/>
          <w:position w:val="0"/>
          <w:sz w:val="36"/>
          <w:shd w:fill="auto" w:val="clear"/>
        </w:rPr>
      </w:pPr>
      <w:r>
        <w:rPr>
          <w:rFonts w:ascii="Calibri" w:hAnsi="Calibri" w:cs="Calibri" w:eastAsia="Calibri"/>
          <w:color w:val="333333"/>
          <w:spacing w:val="0"/>
          <w:position w:val="0"/>
          <w:sz w:val="36"/>
          <w:shd w:fill="auto" w:val="clear"/>
        </w:rPr>
        <w:t xml:space="preserve">Proposed Retail Units at 334 Sheffield Road, Birdwell, Barnsley. South Yorkshire. S70 5TU</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Executive Summary</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statement accompanies a change of use planning application to convert storage Building into Suis generis units comprising of Beauty Salons including retail sales within the salons. E(d) Fitness suite including E(e) Physiotherapy.</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It is not a standalone documentation and must be read with the plans which constitute the principle information.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storage yard is not listed but is attached to the Grade II listed Tankersley Mine Rescue Station.. </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Contents</w:t>
      </w:r>
    </w:p>
    <w:p>
      <w:pPr>
        <w:spacing w:before="0" w:after="160" w:line="360"/>
        <w:ind w:right="0" w:left="0" w:firstLine="0"/>
        <w:jc w:val="left"/>
        <w:rPr>
          <w:rFonts w:ascii="Calibri" w:hAnsi="Calibri" w:cs="Calibri" w:eastAsia="Calibri"/>
          <w:b/>
          <w:color w:val="333333"/>
          <w:spacing w:val="0"/>
          <w:position w:val="0"/>
          <w:sz w:val="22"/>
          <w:shd w:fill="auto" w:val="clear"/>
        </w:rPr>
      </w:pP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Introduction</w:t>
      </w: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Site Location</w:t>
      </w: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Aims of the Heritage Statement</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Identifying the Hertitage Asset</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Condition</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Proposal</w:t>
      </w: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Assessment of Impact and Mitigation</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Conclusion</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Photographs</w:t>
      </w: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numPr>
          <w:ilvl w:val="0"/>
          <w:numId w:val="5"/>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Introduction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This heritage statement has been prepared to support the change of use planning application to convert storage Building into Suis generis units comprising of Beauty Salons including retail sales within the salons. E(d) Fitness suite including E(e) Physiotherapy.</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 has been discussed via a pre planning enquiry no. 2020/ENQ 00004.</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Site Location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site is located to the rear of 334 Sheffield Road, Birdwell, Barnsley, South Yorkshire. S70 5TU. National Grid ref SE34689 00528. The local planning authority is Barnsley Metropolitan Borough Council.</w:t>
      </w: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7"/>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Aims of the Heritage Statement</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This statement provides a description of the location, character and significance of the Tankersley Mine Rescue Station and in particular the rear courtyard which is affected by the proposed works carefully designed to preserve that significance of the original building.</w:t>
      </w:r>
    </w:p>
    <w:p>
      <w:pPr>
        <w:spacing w:before="0" w:after="160" w:line="360"/>
        <w:ind w:right="0" w:left="0" w:firstLine="0"/>
        <w:jc w:val="left"/>
        <w:rPr>
          <w:rFonts w:ascii="Calibri" w:hAnsi="Calibri" w:cs="Calibri" w:eastAsia="Calibri"/>
          <w:color w:val="auto"/>
          <w:spacing w:val="0"/>
          <w:position w:val="0"/>
          <w:sz w:val="22"/>
          <w:shd w:fill="auto" w:val="clear"/>
        </w:rPr>
      </w:pPr>
    </w:p>
    <w:p>
      <w:pPr>
        <w:numPr>
          <w:ilvl w:val="0"/>
          <w:numId w:val="9"/>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Identifying the Hertitage Asset</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storage yard is not listed but is attached to the Grade II listed Tankersley Mine Rescue Station. The listed description is as follows:</w:t>
      </w:r>
    </w:p>
    <w:p>
      <w:pPr>
        <w:spacing w:before="0" w:after="160" w:line="360"/>
        <w:ind w:right="0" w:left="0" w:firstLine="0"/>
        <w:jc w:val="left"/>
        <w:rPr>
          <w:rFonts w:ascii="Calibri" w:hAnsi="Calibri" w:cs="Calibri" w:eastAsia="Calibri"/>
          <w:i/>
          <w:color w:val="000000"/>
          <w:spacing w:val="0"/>
          <w:position w:val="0"/>
          <w:sz w:val="22"/>
          <w:shd w:fill="auto" w:val="clear"/>
        </w:rPr>
      </w:pPr>
      <w:r>
        <w:rPr>
          <w:rFonts w:ascii="Calibri" w:hAnsi="Calibri" w:cs="Calibri" w:eastAsia="Calibri"/>
          <w:i/>
          <w:color w:val="000000"/>
          <w:spacing w:val="0"/>
          <w:position w:val="0"/>
          <w:sz w:val="22"/>
          <w:shd w:fill="auto" w:val="clear"/>
        </w:rPr>
        <w:t xml:space="preserve">1800/1/10005 Tankersley Mine Rescue Station II</w:t>
        <w:br/>
        <w:br/>
        <w:t xml:space="preserve">Mines rescue station. 1902 with minor late C20 alterations. Built for the West Yorkshire Coal Mine Owners Association. Red brick with ashlar dressings and slate hipped roof and single brick stack. 2 storey. Street front has doorway to left with panel door, overlight and ashlar lintel. To right 3-light cross casement window and beyond modern casement window replacing former square bay window. Above two 3-light cross casement windows, that to left in half-timbered gable above, to right 2 small casement windows in rendered section, originally half-timbered. To rear courtyard with single and 2 storey outbuildings around 3 sides of the yard, for the storage of mines rescue equipment and transport. This building was the first purpose built Coal Mines Rescue Station to be built in England and it is listed for its important historical associations with the Coal Mining Industry.</w:t>
      </w:r>
    </w:p>
    <w:p>
      <w:pPr>
        <w:spacing w:before="0" w:after="160" w:line="360"/>
        <w:ind w:right="0" w:left="0" w:firstLine="0"/>
        <w:jc w:val="left"/>
        <w:rPr>
          <w:rFonts w:ascii="Calibri" w:hAnsi="Calibri" w:cs="Calibri" w:eastAsia="Calibri"/>
          <w:i/>
          <w:color w:val="000000"/>
          <w:spacing w:val="0"/>
          <w:position w:val="0"/>
          <w:sz w:val="22"/>
          <w:shd w:fill="auto" w:val="clear"/>
        </w:rPr>
      </w:pPr>
      <w:hyperlink xmlns:r="http://schemas.openxmlformats.org/officeDocument/2006/relationships" r:id="docRId0">
        <w:r>
          <w:rPr>
            <w:rFonts w:ascii="Calibri" w:hAnsi="Calibri" w:cs="Calibri" w:eastAsia="Calibri"/>
            <w:i/>
            <w:color w:val="000000"/>
            <w:spacing w:val="0"/>
            <w:position w:val="0"/>
            <w:sz w:val="22"/>
            <w:u w:val="single"/>
            <w:shd w:fill="auto" w:val="clear"/>
          </w:rPr>
          <w:t xml:space="preserve">https://historicengland.org.uk/listing/the-list/list-entry/1376008</w:t>
        </w:r>
      </w:hyperlink>
    </w:p>
    <w:p>
      <w:pPr>
        <w:spacing w:before="0" w:after="160" w:line="360"/>
        <w:ind w:right="0" w:left="0" w:firstLine="0"/>
        <w:jc w:val="left"/>
        <w:rPr>
          <w:rFonts w:ascii="Arial" w:hAnsi="Arial" w:cs="Arial" w:eastAsia="Arial"/>
          <w:color w:val="000000"/>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auto"/>
          <w:spacing w:val="0"/>
          <w:position w:val="0"/>
          <w:sz w:val="22"/>
          <w:shd w:fill="auto" w:val="clear"/>
        </w:rPr>
        <w:t xml:space="preserve">The </w:t>
      </w:r>
      <w:r>
        <w:rPr>
          <w:rFonts w:ascii="Calibri" w:hAnsi="Calibri" w:cs="Calibri" w:eastAsia="Calibri"/>
          <w:color w:val="333333"/>
          <w:spacing w:val="0"/>
          <w:position w:val="0"/>
          <w:sz w:val="22"/>
          <w:shd w:fill="auto" w:val="clear"/>
        </w:rPr>
        <w:t xml:space="preserve">Rear courtyard comprises of single and two storey outbuilding encasing three sides of the yard. The outbuildings are built from red brick, with timber windows, slate roof tiles which cover the lean to roof over the single storey side buildings, a flat roof to the rear units and a gable fronted pitched roof to the two storey unit.</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Timber pillars support the lean to roof painted in a royal blue paint to match the timber windows and fascias. </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rear courtyard has recently been re roofed </w:t>
      </w:r>
    </w:p>
    <w:p>
      <w:pPr>
        <w:numPr>
          <w:ilvl w:val="0"/>
          <w:numId w:val="11"/>
        </w:numPr>
        <w:spacing w:before="120" w:after="240" w:line="360"/>
        <w:ind w:right="0" w:left="792" w:hanging="432"/>
        <w:jc w:val="both"/>
        <w:rPr>
          <w:rFonts w:ascii="Calibri" w:hAnsi="Calibri" w:cs="Calibri" w:eastAsia="Calibri"/>
          <w:color w:val="333333"/>
          <w:spacing w:val="0"/>
          <w:position w:val="0"/>
          <w:sz w:val="22"/>
          <w:shd w:fill="auto" w:val="clear"/>
        </w:rPr>
      </w:pPr>
    </w:p>
    <w:p>
      <w:pPr>
        <w:numPr>
          <w:ilvl w:val="0"/>
          <w:numId w:val="11"/>
        </w:numPr>
        <w:spacing w:before="120" w:after="240" w:line="360"/>
        <w:ind w:right="0" w:left="720" w:hanging="360"/>
        <w:jc w:val="both"/>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Condition</w:t>
      </w:r>
    </w:p>
    <w:p>
      <w:pPr>
        <w:numPr>
          <w:ilvl w:val="0"/>
          <w:numId w:val="11"/>
        </w:numPr>
        <w:spacing w:before="120" w:after="240" w:line="360"/>
        <w:ind w:right="0" w:left="792" w:hanging="432"/>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Historic England advice defines the categories of condition for historic buildings as follows: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Good: Structurally sound; weathertight; no significant repairs needed.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Fair: Structurally sound; in need of minor repair; showing signs of a lack of general maintenance.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Poor: Deteriorating masonry; leaking roof; defective rainwater goods, usually accompanied by rot outbreaks; general deterioration of most elements of the building fabric, including external joinery; or where there has been a fire or other disaster which has affected part of the building.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Very bad: Structural failure or clear signs of structural instability; loss of significant areas of the roof covering, leading to major deterioration of the interior; or where there has been a major fire or other disaster affecting most of the building. </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In regards to Tankersley Mine Rescue Station it would fall under the category of ‘good’condition. </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16"/>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Proposal</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Planning permission is sought for </w:t>
      </w:r>
    </w:p>
    <w:p>
      <w:pPr>
        <w:numPr>
          <w:ilvl w:val="0"/>
          <w:numId w:val="18"/>
        </w:numPr>
        <w:spacing w:before="0" w:after="16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333333"/>
          <w:spacing w:val="0"/>
          <w:position w:val="0"/>
          <w:sz w:val="22"/>
          <w:shd w:fill="auto" w:val="clear"/>
        </w:rPr>
        <w:t xml:space="preserve">The change of use of the existing storage units to the rear courtyard into Suis generis units comprising of Beauty Salons including retail sales within the salons. E(d) Fitness suite including E(e) Physiotherapy.</w:t>
      </w:r>
    </w:p>
    <w:p>
      <w:pPr>
        <w:numPr>
          <w:ilvl w:val="0"/>
          <w:numId w:val="18"/>
        </w:numPr>
        <w:spacing w:before="0" w:after="16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New shop entrance/ frontage to be provided to the rear single Storey building and to the front elevation of the two Storey (unit 3) facing Sheffield Road.</w:t>
      </w:r>
    </w:p>
    <w:p>
      <w:pPr>
        <w:spacing w:before="0" w:after="16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two Storey building will remain as an office upstairs with the change of use of being required to the ground floor. A new shop front is proposed to the opening currently comprising of a roller shutter door.</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20"/>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Assessment of Impact and Mitigation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elements of the proposals and their likely impact and mitigation proposed can be assessed with regard to the scheme. These are addressed below.</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 involve no alterations to the single storey (unit 1) and therefore no harm is proposed to the historic fabric of the building. The unit is to retain the original timber boarded doors and timber windows keeping the appearance of the 1910’s Rescue Station design.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proposals include removing a roller shutter door and replacing with a shop frontage to both the rear and two storey units (units 3 &amp;4). No historical harm is proposed as the roller shutter doors are a C20 modification to the units. The additional of a shop frontage would enhance the aesthetics of the courtyard whilst also maintaining the historical fabric of the red brick walls and timber windows.</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view of the units from Sheffield Road will be enhanced with the proposed frontage to unit 4, inviting visitors into the site.</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Overall the proposed works would have a negligible effect on the historic fabric of the building and its character. Its architectural value would be preserved and its historic heritage value would be unchanged.</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changes provide retail and leisure facilities for the local community and will keep the courtyard buildings as a viable use for the sustainable future.</w:t>
      </w:r>
    </w:p>
    <w:p>
      <w:pPr>
        <w:spacing w:before="0" w:after="160" w:line="360"/>
        <w:ind w:right="0" w:left="0" w:firstLine="0"/>
        <w:jc w:val="left"/>
        <w:rPr>
          <w:rFonts w:ascii="Calibri" w:hAnsi="Calibri" w:cs="Calibri" w:eastAsia="Calibri"/>
          <w:b/>
          <w:color w:val="333333"/>
          <w:spacing w:val="0"/>
          <w:position w:val="0"/>
          <w:sz w:val="22"/>
          <w:shd w:fill="auto" w:val="clear"/>
        </w:rPr>
      </w:pPr>
    </w:p>
    <w:p>
      <w:pPr>
        <w:numPr>
          <w:ilvl w:val="0"/>
          <w:numId w:val="22"/>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Conclusion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It is consider the proposals to change the storage units into retail and leisure facilities is the most effective and appropriate use for the former storage units.</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clients intention / design is sympathetic and in keeping with the original design and historic character of the buildings. </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 are a positive contribution to the courtyard, sustainable maintaining the buildings use within the local area and providing much needed amenities to local residents.</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significance of the building and courtyard including its character and historical interest would be preserved.</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negligible design alterations are equivalent to less than substantial harm. No mitigation is proposed in relation to this very low level of harm.</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24"/>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Photographs</w:t>
      </w:r>
    </w:p>
    <w:p>
      <w:pPr>
        <w:spacing w:before="0" w:after="160" w:line="360"/>
        <w:ind w:right="0" w:left="0" w:firstLine="0"/>
        <w:jc w:val="left"/>
        <w:rPr>
          <w:rFonts w:ascii="Calibri" w:hAnsi="Calibri" w:cs="Calibri" w:eastAsia="Calibri"/>
          <w:color w:val="333333"/>
          <w:spacing w:val="0"/>
          <w:position w:val="0"/>
          <w:sz w:val="22"/>
          <w:shd w:fill="auto" w:val="clear"/>
        </w:rPr>
      </w:pPr>
      <w:r>
        <w:object w:dxaOrig="7045" w:dyaOrig="5367">
          <v:rect xmlns:o="urn:schemas-microsoft-com:office:office" xmlns:v="urn:schemas-microsoft-com:vml" id="rectole0000000000" style="width:352.250000pt;height:268.350000pt" o:preferrelative="t" o:ole="">
            <o:lock v:ext="edit"/>
            <v:imagedata xmlns:r="http://schemas.openxmlformats.org/officeDocument/2006/relationships" r:id="docRId2" o:title=""/>
          </v:rect>
          <o:OLEObject xmlns:r="http://schemas.openxmlformats.org/officeDocument/2006/relationships" xmlns:o="urn:schemas-microsoft-com:office:office" Type="Embed" ProgID="StaticMetafile" DrawAspect="Content" ObjectID="0000000000" ShapeID="rectole0000000000" r:id="docRId1"/>
        </w:objec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259"/>
        <w:ind w:right="0" w:left="0" w:firstLine="0"/>
        <w:jc w:val="left"/>
        <w:rPr>
          <w:rFonts w:ascii="Calibri" w:hAnsi="Calibri" w:cs="Calibri" w:eastAsia="Calibri"/>
          <w:color w:val="333333"/>
          <w:spacing w:val="0"/>
          <w:position w:val="0"/>
          <w:sz w:val="22"/>
          <w:shd w:fill="auto" w:val="clear"/>
        </w:rPr>
      </w:pPr>
      <w:r>
        <w:object w:dxaOrig="7112" w:dyaOrig="5388">
          <v:rect xmlns:o="urn:schemas-microsoft-com:office:office" xmlns:v="urn:schemas-microsoft-com:vml" id="rectole0000000001" style="width:355.600000pt;height:269.400000pt" o:preferrelative="t" o:ole="">
            <o:lock v:ext="edit"/>
            <v:imagedata xmlns:r="http://schemas.openxmlformats.org/officeDocument/2006/relationships" r:id="docRId4" o:title=""/>
          </v:rect>
          <o:OLEObject xmlns:r="http://schemas.openxmlformats.org/officeDocument/2006/relationships" xmlns:o="urn:schemas-microsoft-com:office:office" Type="Embed" ProgID="StaticMetafile" DrawAspect="Content" ObjectID="0000000001" ShapeID="rectole0000000001" r:id="docRId3"/>
        </w:objec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3">
    <w:abstractNumId w:val="54"/>
  </w:num>
  <w:num w:numId="5">
    <w:abstractNumId w:val="48"/>
  </w:num>
  <w:num w:numId="7">
    <w:abstractNumId w:val="42"/>
  </w:num>
  <w:num w:numId="9">
    <w:abstractNumId w:val="36"/>
  </w:num>
  <w:num w:numId="11">
    <w:abstractNumId w:val="30"/>
  </w:num>
  <w:num w:numId="16">
    <w:abstractNumId w:val="24"/>
  </w:num>
  <w:num w:numId="18">
    <w:abstractNumId w:val="18"/>
  </w:num>
  <w:num w:numId="20">
    <w:abstractNumId w:val="12"/>
  </w:num>
  <w:num w:numId="22">
    <w:abstractNumId w:val="6"/>
  </w:num>
  <w:num w:numId="24">
    <w:abstractNumId w:val="0"/>
  </w:num>
</w:numbering>
</file>

<file path=word/styles.xml><?xml version="1.0" encoding="utf-8"?>
<w:styles xmlns:w="http://schemas.openxmlformats.org/wordprocessingml/2006/main"/>
</file>

<file path=word/_rels/document.xml.rels><?xml version="1.0" encoding="UTF-8" standalone="yes"?>
<Relationships xmlns="http://schemas.openxmlformats.org/package/2006/relationships"><Relationship Id="docRId4" Type="http://schemas.openxmlformats.org/officeDocument/2006/relationships/image" Target="media/image1.wmf"/><Relationship Id="docRId3" Type="http://schemas.openxmlformats.org/officeDocument/2006/relationships/oleObject" Target="embeddings/oleObject1.bin"/><Relationship Id="rId3" Type="http://schemas.openxmlformats.org/officeDocument/2006/relationships/customXml" Target="../customXml/item3.xml"/><Relationship Id="docRId2" Type="http://schemas.openxmlformats.org/officeDocument/2006/relationships/image" Target="media/image0.wmf"/><Relationship Id="rId2" Type="http://schemas.openxmlformats.org/officeDocument/2006/relationships/customXml" Target="../customXml/item2.xml"/><Relationship Id="docRId6" Type="http://schemas.openxmlformats.org/officeDocument/2006/relationships/styles" Target="styles.xml"/><Relationship Id="rId1" Type="http://schemas.openxmlformats.org/officeDocument/2006/relationships/customXml" Target="../customXml/item1.xml"/><Relationship Id="docRId1" Type="http://schemas.openxmlformats.org/officeDocument/2006/relationships/oleObject" Target="embeddings/oleObject0.bin"/><Relationship Id="docRId5" Type="http://schemas.openxmlformats.org/officeDocument/2006/relationships/numbering" Target="numbering.xml"/><Relationship Id="docRId0" Type="http://schemas.openxmlformats.org/officeDocument/2006/relationships/hyperlink" Target="https://historicengland.org.uk/listing/the-list/list-entry/1376008"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C4CD683F-A63B-4EA5-A25A-A1E83666DB16}"/>
</file>

<file path=customXml/itemProps2.xml><?xml version="1.0" encoding="utf-8"?>
<ds:datastoreItem xmlns:ds="http://schemas.openxmlformats.org/officeDocument/2006/customXml" ds:itemID="{E1ED2C8B-8535-4C10-AA9A-E804B6DC3E70}"/>
</file>

<file path=customXml/itemProps3.xml><?xml version="1.0" encoding="utf-8"?>
<ds:datastoreItem xmlns:ds="http://schemas.openxmlformats.org/officeDocument/2006/customXml" ds:itemID="{53AE4A7A-E6E5-4A6F-8430-15B6B57E87B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