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8475" w14:textId="77777777" w:rsidR="00B104E5" w:rsidRDefault="00B104E5" w:rsidP="00B104E5">
      <w:pPr>
        <w:ind w:left="142"/>
        <w:jc w:val="both"/>
      </w:pPr>
    </w:p>
    <w:p w14:paraId="232B6628" w14:textId="62F66505" w:rsidR="001464C3" w:rsidRPr="00EF29CC" w:rsidRDefault="00EF29CC" w:rsidP="00EF29CC">
      <w:pPr>
        <w:ind w:left="270"/>
        <w:rPr>
          <w:sz w:val="22"/>
          <w:szCs w:val="22"/>
        </w:rPr>
      </w:pPr>
      <w:r>
        <w:rPr>
          <w:sz w:val="22"/>
          <w:szCs w:val="22"/>
        </w:rPr>
        <w:t>This method statement has been written in conjunction with the</w:t>
      </w:r>
      <w:r w:rsidR="00A33859">
        <w:rPr>
          <w:sz w:val="22"/>
          <w:szCs w:val="22"/>
        </w:rPr>
        <w:t xml:space="preserve"> companies</w:t>
      </w:r>
      <w:r>
        <w:rPr>
          <w:sz w:val="22"/>
          <w:szCs w:val="22"/>
        </w:rPr>
        <w:t xml:space="preserve"> site Health &amp; Safety </w:t>
      </w:r>
      <w:r w:rsidR="00A33859">
        <w:rPr>
          <w:sz w:val="22"/>
          <w:szCs w:val="22"/>
        </w:rPr>
        <w:t>policy and procedures.</w:t>
      </w:r>
    </w:p>
    <w:p w14:paraId="52FAC45A" w14:textId="77777777" w:rsidR="00475228" w:rsidRPr="009424E9" w:rsidRDefault="00475228" w:rsidP="00506F81">
      <w:pPr>
        <w:ind w:left="142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634229" w:rsidRPr="00F74981" w14:paraId="63E8C61A" w14:textId="77777777" w:rsidTr="00E420D3">
        <w:tc>
          <w:tcPr>
            <w:tcW w:w="10064" w:type="dxa"/>
            <w:shd w:val="clear" w:color="auto" w:fill="E0E0E0"/>
          </w:tcPr>
          <w:p w14:paraId="794B96E5" w14:textId="77777777" w:rsidR="00634229" w:rsidRPr="00F74981" w:rsidRDefault="00CB42B4" w:rsidP="00506F81">
            <w:pPr>
              <w:rPr>
                <w:b/>
                <w:sz w:val="22"/>
                <w:szCs w:val="22"/>
              </w:rPr>
            </w:pPr>
            <w:r w:rsidRPr="00F74981">
              <w:rPr>
                <w:b/>
                <w:sz w:val="22"/>
                <w:szCs w:val="22"/>
              </w:rPr>
              <w:t>The parking of vehicles of site operatives and visitors:</w:t>
            </w:r>
          </w:p>
        </w:tc>
      </w:tr>
      <w:tr w:rsidR="00634229" w:rsidRPr="00F74981" w14:paraId="73FF899A" w14:textId="77777777" w:rsidTr="00E420D3">
        <w:tc>
          <w:tcPr>
            <w:tcW w:w="10064" w:type="dxa"/>
          </w:tcPr>
          <w:p w14:paraId="7404B779" w14:textId="3AF9A294" w:rsidR="00A77263" w:rsidRPr="00F74981" w:rsidRDefault="009424E9" w:rsidP="009424E9">
            <w:pPr>
              <w:rPr>
                <w:sz w:val="22"/>
                <w:szCs w:val="22"/>
              </w:rPr>
            </w:pPr>
            <w:r w:rsidRPr="00F74981">
              <w:rPr>
                <w:sz w:val="22"/>
                <w:szCs w:val="22"/>
              </w:rPr>
              <w:t>Site parking is to be allocated site</w:t>
            </w:r>
            <w:r w:rsidR="00A33859">
              <w:rPr>
                <w:sz w:val="22"/>
                <w:szCs w:val="22"/>
              </w:rPr>
              <w:t xml:space="preserve"> initially utilising Redbrook Mill Close</w:t>
            </w:r>
            <w:r w:rsidRPr="00F74981">
              <w:rPr>
                <w:sz w:val="22"/>
                <w:szCs w:val="22"/>
              </w:rPr>
              <w:t>.  Additional parking will be by use of the new access</w:t>
            </w:r>
            <w:r w:rsidR="00726C7B">
              <w:rPr>
                <w:sz w:val="22"/>
                <w:szCs w:val="22"/>
              </w:rPr>
              <w:t xml:space="preserve"> </w:t>
            </w:r>
            <w:r w:rsidR="00A33859">
              <w:rPr>
                <w:sz w:val="22"/>
                <w:szCs w:val="22"/>
              </w:rPr>
              <w:t>drives</w:t>
            </w:r>
            <w:r w:rsidRPr="00F74981">
              <w:rPr>
                <w:sz w:val="22"/>
                <w:szCs w:val="22"/>
              </w:rPr>
              <w:t xml:space="preserve">, all operatives and visitors will be informed that they are not to park on </w:t>
            </w:r>
            <w:r w:rsidR="00726C7B">
              <w:rPr>
                <w:sz w:val="22"/>
                <w:szCs w:val="22"/>
              </w:rPr>
              <w:t>Redbrook</w:t>
            </w:r>
            <w:r w:rsidR="00D63E91">
              <w:rPr>
                <w:sz w:val="22"/>
                <w:szCs w:val="22"/>
              </w:rPr>
              <w:t xml:space="preserve"> Road</w:t>
            </w:r>
            <w:r w:rsidRPr="00F74981">
              <w:rPr>
                <w:sz w:val="22"/>
                <w:szCs w:val="22"/>
              </w:rPr>
              <w:t xml:space="preserve"> and will be told to immediately remove their vehicle if they do so.</w:t>
            </w:r>
            <w:r w:rsidR="00A651E7" w:rsidRPr="00F74981">
              <w:rPr>
                <w:sz w:val="22"/>
                <w:szCs w:val="22"/>
              </w:rPr>
              <w:t xml:space="preserve"> </w:t>
            </w:r>
          </w:p>
        </w:tc>
      </w:tr>
    </w:tbl>
    <w:p w14:paraId="2D4EC179" w14:textId="77777777" w:rsidR="00A77263" w:rsidRPr="00F74981" w:rsidRDefault="00A77263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B51090" w:rsidRPr="00F74981" w14:paraId="41804422" w14:textId="77777777" w:rsidTr="00E420D3">
        <w:tc>
          <w:tcPr>
            <w:tcW w:w="10061" w:type="dxa"/>
            <w:shd w:val="clear" w:color="auto" w:fill="E0E0E0"/>
          </w:tcPr>
          <w:p w14:paraId="4161016B" w14:textId="77777777" w:rsidR="00B51090" w:rsidRPr="00F74981" w:rsidRDefault="00EE0F8A" w:rsidP="00506F81">
            <w:pPr>
              <w:rPr>
                <w:b/>
                <w:sz w:val="22"/>
                <w:szCs w:val="22"/>
              </w:rPr>
            </w:pPr>
            <w:r w:rsidRPr="00F74981">
              <w:rPr>
                <w:sz w:val="22"/>
                <w:szCs w:val="22"/>
              </w:rPr>
              <w:br w:type="page"/>
            </w:r>
            <w:r w:rsidR="00ED132C" w:rsidRPr="00F74981">
              <w:rPr>
                <w:b/>
                <w:sz w:val="22"/>
                <w:szCs w:val="22"/>
              </w:rPr>
              <w:t>Means of access for construction traffic:</w:t>
            </w:r>
          </w:p>
        </w:tc>
      </w:tr>
      <w:tr w:rsidR="00B51090" w:rsidRPr="00F74981" w14:paraId="73945852" w14:textId="77777777" w:rsidTr="00E420D3">
        <w:tc>
          <w:tcPr>
            <w:tcW w:w="10061" w:type="dxa"/>
          </w:tcPr>
          <w:p w14:paraId="70C29328" w14:textId="4D75A722" w:rsidR="00A77263" w:rsidRPr="00F74981" w:rsidRDefault="005709E5" w:rsidP="00ED132C">
            <w:pPr>
              <w:rPr>
                <w:sz w:val="22"/>
                <w:szCs w:val="22"/>
              </w:rPr>
            </w:pPr>
            <w:r w:rsidRPr="00F74981">
              <w:rPr>
                <w:sz w:val="22"/>
                <w:szCs w:val="22"/>
              </w:rPr>
              <w:t>All deliveries will</w:t>
            </w:r>
            <w:r w:rsidR="00AD23F0">
              <w:rPr>
                <w:sz w:val="22"/>
                <w:szCs w:val="22"/>
              </w:rPr>
              <w:t xml:space="preserve"> be informed to strictly turn left out of the site, the use of horns will be strictly prohibited</w:t>
            </w:r>
            <w:r w:rsidRPr="00F74981">
              <w:rPr>
                <w:sz w:val="22"/>
                <w:szCs w:val="22"/>
              </w:rPr>
              <w:t>.</w:t>
            </w:r>
            <w:r w:rsidR="00AD23F0">
              <w:rPr>
                <w:sz w:val="22"/>
                <w:szCs w:val="22"/>
              </w:rPr>
              <w:t xml:space="preserve"> </w:t>
            </w:r>
            <w:r w:rsidRPr="00F74981">
              <w:rPr>
                <w:sz w:val="22"/>
                <w:szCs w:val="22"/>
              </w:rPr>
              <w:t xml:space="preserve">  This information will be </w:t>
            </w:r>
            <w:r w:rsidR="00210F1F" w:rsidRPr="00F74981">
              <w:rPr>
                <w:sz w:val="22"/>
                <w:szCs w:val="22"/>
              </w:rPr>
              <w:t>communicated</w:t>
            </w:r>
            <w:r w:rsidRPr="00F74981">
              <w:rPr>
                <w:sz w:val="22"/>
                <w:szCs w:val="22"/>
              </w:rPr>
              <w:t xml:space="preserve"> with suppliers at the early stages and to </w:t>
            </w:r>
            <w:r w:rsidR="00351C37" w:rsidRPr="00F74981">
              <w:rPr>
                <w:sz w:val="22"/>
                <w:szCs w:val="22"/>
              </w:rPr>
              <w:t>operatives</w:t>
            </w:r>
            <w:r w:rsidRPr="00F74981">
              <w:rPr>
                <w:sz w:val="22"/>
                <w:szCs w:val="22"/>
              </w:rPr>
              <w:t xml:space="preserve"> on site induction.</w:t>
            </w:r>
          </w:p>
        </w:tc>
      </w:tr>
    </w:tbl>
    <w:p w14:paraId="1D0D261F" w14:textId="77777777" w:rsidR="00475228" w:rsidRPr="00F74981" w:rsidRDefault="00475228" w:rsidP="00351C37">
      <w:pPr>
        <w:rPr>
          <w:sz w:val="22"/>
          <w:szCs w:val="22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B777A" w:rsidRPr="00F74981" w14:paraId="6328E3D8" w14:textId="77777777" w:rsidTr="00E420D3">
        <w:tc>
          <w:tcPr>
            <w:tcW w:w="10064" w:type="dxa"/>
            <w:shd w:val="clear" w:color="auto" w:fill="E0E0E0"/>
          </w:tcPr>
          <w:p w14:paraId="1C7C2F22" w14:textId="77777777" w:rsidR="001B777A" w:rsidRPr="00F74981" w:rsidRDefault="00ED132C" w:rsidP="00982FCD">
            <w:pPr>
              <w:rPr>
                <w:b/>
                <w:sz w:val="22"/>
                <w:szCs w:val="22"/>
              </w:rPr>
            </w:pPr>
            <w:r w:rsidRPr="00F74981">
              <w:rPr>
                <w:b/>
                <w:sz w:val="22"/>
                <w:szCs w:val="22"/>
              </w:rPr>
              <w:t>Loading and unloading of plant and materials</w:t>
            </w:r>
          </w:p>
        </w:tc>
      </w:tr>
      <w:tr w:rsidR="001B777A" w:rsidRPr="00F74981" w14:paraId="1E07BC01" w14:textId="77777777" w:rsidTr="00AD23F0">
        <w:trPr>
          <w:trHeight w:val="754"/>
        </w:trPr>
        <w:tc>
          <w:tcPr>
            <w:tcW w:w="10064" w:type="dxa"/>
          </w:tcPr>
          <w:p w14:paraId="32B9D406" w14:textId="6B08D4D0" w:rsidR="00A77263" w:rsidRPr="00F74981" w:rsidRDefault="00AD23F0" w:rsidP="00690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  <w:r w:rsidR="00210F1F" w:rsidRPr="00F74981">
              <w:rPr>
                <w:sz w:val="22"/>
                <w:szCs w:val="22"/>
              </w:rPr>
              <w:t xml:space="preserve">unloading will be undertaken </w:t>
            </w:r>
            <w:proofErr w:type="gramStart"/>
            <w:r w:rsidR="00210F1F" w:rsidRPr="00F74981">
              <w:rPr>
                <w:sz w:val="22"/>
                <w:szCs w:val="22"/>
              </w:rPr>
              <w:t xml:space="preserve">on </w:t>
            </w:r>
            <w:r>
              <w:rPr>
                <w:sz w:val="22"/>
                <w:szCs w:val="22"/>
              </w:rPr>
              <w:t xml:space="preserve"> site</w:t>
            </w:r>
            <w:proofErr w:type="gramEnd"/>
            <w:r>
              <w:rPr>
                <w:sz w:val="22"/>
                <w:szCs w:val="22"/>
              </w:rPr>
              <w:t xml:space="preserve"> only</w:t>
            </w:r>
            <w:r w:rsidR="00210F1F" w:rsidRPr="00F74981">
              <w:rPr>
                <w:sz w:val="22"/>
                <w:szCs w:val="22"/>
              </w:rPr>
              <w:t xml:space="preserve">. And will only be undertaken from 8AM to </w:t>
            </w:r>
            <w:r w:rsidR="00802476">
              <w:rPr>
                <w:sz w:val="22"/>
                <w:szCs w:val="22"/>
              </w:rPr>
              <w:t>6</w:t>
            </w:r>
            <w:r w:rsidR="00210F1F" w:rsidRPr="00F74981">
              <w:rPr>
                <w:sz w:val="22"/>
                <w:szCs w:val="22"/>
              </w:rPr>
              <w:t xml:space="preserve">PM Monday to Friday. </w:t>
            </w:r>
            <w:r w:rsidR="00D63E91">
              <w:rPr>
                <w:sz w:val="22"/>
                <w:szCs w:val="22"/>
              </w:rPr>
              <w:t xml:space="preserve"> Times of 8:30 – 9:</w:t>
            </w:r>
            <w:r>
              <w:rPr>
                <w:sz w:val="22"/>
                <w:szCs w:val="22"/>
              </w:rPr>
              <w:t>15</w:t>
            </w:r>
            <w:r w:rsidR="00D63E91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>16</w:t>
            </w:r>
            <w:r w:rsidR="00D63E9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="00D63E9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18</w:t>
            </w:r>
            <w:r w:rsidR="00D63E9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D63E91">
              <w:rPr>
                <w:sz w:val="22"/>
                <w:szCs w:val="22"/>
              </w:rPr>
              <w:t xml:space="preserve"> will planned to be avoided due to the increase </w:t>
            </w:r>
            <w:proofErr w:type="gramStart"/>
            <w:r w:rsidR="00D63E91">
              <w:rPr>
                <w:sz w:val="22"/>
                <w:szCs w:val="22"/>
              </w:rPr>
              <w:t>in  traffic</w:t>
            </w:r>
            <w:proofErr w:type="gramEnd"/>
            <w:r>
              <w:rPr>
                <w:sz w:val="22"/>
                <w:szCs w:val="22"/>
              </w:rPr>
              <w:t xml:space="preserve"> at </w:t>
            </w:r>
            <w:r w:rsidR="00E76F56">
              <w:rPr>
                <w:sz w:val="22"/>
                <w:szCs w:val="22"/>
              </w:rPr>
              <w:t>commuting times</w:t>
            </w:r>
            <w:r w:rsidR="00D63E91">
              <w:rPr>
                <w:sz w:val="22"/>
                <w:szCs w:val="22"/>
              </w:rPr>
              <w:t>.</w:t>
            </w:r>
          </w:p>
        </w:tc>
      </w:tr>
    </w:tbl>
    <w:p w14:paraId="29C43354" w14:textId="77777777" w:rsidR="00475228" w:rsidRPr="00F74981" w:rsidRDefault="00475228" w:rsidP="00351C37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FD4A95" w:rsidRPr="00F74981" w14:paraId="68B17200" w14:textId="77777777" w:rsidTr="00E420D3">
        <w:tc>
          <w:tcPr>
            <w:tcW w:w="10064" w:type="dxa"/>
            <w:shd w:val="clear" w:color="auto" w:fill="E0E0E0"/>
          </w:tcPr>
          <w:p w14:paraId="66F1E37F" w14:textId="77777777" w:rsidR="00FD4A95" w:rsidRPr="00F74981" w:rsidRDefault="00ED132C" w:rsidP="00506F81">
            <w:pPr>
              <w:rPr>
                <w:b/>
                <w:sz w:val="22"/>
                <w:szCs w:val="22"/>
              </w:rPr>
            </w:pPr>
            <w:r w:rsidRPr="00F74981">
              <w:rPr>
                <w:b/>
                <w:sz w:val="22"/>
                <w:szCs w:val="22"/>
              </w:rPr>
              <w:t>Storage of plant and materials used in constructing the development</w:t>
            </w:r>
          </w:p>
        </w:tc>
      </w:tr>
      <w:tr w:rsidR="00FD4A95" w:rsidRPr="00F74981" w14:paraId="1C2822A6" w14:textId="77777777" w:rsidTr="00E420D3">
        <w:tc>
          <w:tcPr>
            <w:tcW w:w="10064" w:type="dxa"/>
          </w:tcPr>
          <w:p w14:paraId="7A6F554B" w14:textId="4266738A" w:rsidR="00A77263" w:rsidRPr="00F74981" w:rsidRDefault="00E76F56" w:rsidP="00802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10F1F" w:rsidRPr="00F74981">
              <w:rPr>
                <w:sz w:val="22"/>
                <w:szCs w:val="22"/>
              </w:rPr>
              <w:t>llocated areas will be allowed for safe storage of plant and materials which will help allocate separate parking for site vehicles</w:t>
            </w:r>
            <w:r>
              <w:rPr>
                <w:sz w:val="22"/>
                <w:szCs w:val="22"/>
              </w:rPr>
              <w:t xml:space="preserve">, </w:t>
            </w:r>
            <w:r w:rsidR="00210F1F" w:rsidRPr="00F74981">
              <w:rPr>
                <w:sz w:val="22"/>
                <w:szCs w:val="22"/>
              </w:rPr>
              <w:t>this should then minimise the spread of materials, which can make an unsafe site with no parking for vehicles due to limited managed space.</w:t>
            </w:r>
          </w:p>
        </w:tc>
      </w:tr>
    </w:tbl>
    <w:p w14:paraId="4AC5EC48" w14:textId="77777777" w:rsidR="00A77263" w:rsidRPr="00F74981" w:rsidRDefault="00A77263" w:rsidP="00506F81">
      <w:pPr>
        <w:ind w:left="142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4"/>
      </w:tblGrid>
      <w:tr w:rsidR="00EE0F8A" w:rsidRPr="00F74981" w14:paraId="5E80A117" w14:textId="77777777" w:rsidTr="00210F1F">
        <w:tc>
          <w:tcPr>
            <w:tcW w:w="9944" w:type="dxa"/>
            <w:shd w:val="clear" w:color="auto" w:fill="E0E0E0"/>
          </w:tcPr>
          <w:p w14:paraId="260665EB" w14:textId="77777777" w:rsidR="00EE0F8A" w:rsidRPr="00F74981" w:rsidRDefault="00A77263" w:rsidP="004016F0">
            <w:pPr>
              <w:rPr>
                <w:b/>
                <w:sz w:val="22"/>
                <w:szCs w:val="22"/>
              </w:rPr>
            </w:pPr>
            <w:r w:rsidRPr="00F74981">
              <w:rPr>
                <w:sz w:val="22"/>
                <w:szCs w:val="22"/>
              </w:rPr>
              <w:br w:type="page"/>
            </w:r>
            <w:r w:rsidR="00ED132C" w:rsidRPr="00F74981">
              <w:rPr>
                <w:b/>
                <w:sz w:val="22"/>
                <w:szCs w:val="22"/>
              </w:rPr>
              <w:t>The erection and maintenance of security hoarding including decorative displays and facilities for public viewing:</w:t>
            </w:r>
          </w:p>
        </w:tc>
      </w:tr>
      <w:tr w:rsidR="00EE0F8A" w:rsidRPr="00F74981" w14:paraId="2706139A" w14:textId="77777777" w:rsidTr="00210F1F">
        <w:tc>
          <w:tcPr>
            <w:tcW w:w="9944" w:type="dxa"/>
          </w:tcPr>
          <w:p w14:paraId="07B0DC74" w14:textId="130C68C3" w:rsidR="00EE0F8A" w:rsidRPr="00F74981" w:rsidRDefault="00F74981" w:rsidP="00F74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Temporary ‘Heras’ security fencing will be erected</w:t>
            </w:r>
            <w:r w:rsidR="00E76F56">
              <w:rPr>
                <w:sz w:val="22"/>
                <w:szCs w:val="22"/>
              </w:rPr>
              <w:t xml:space="preserve"> to the new opening which will be formed at the early stage to ensure access is provided,</w:t>
            </w:r>
            <w:r>
              <w:rPr>
                <w:sz w:val="22"/>
                <w:szCs w:val="22"/>
              </w:rPr>
              <w:t xml:space="preserve"> </w:t>
            </w:r>
            <w:r w:rsidR="00E76F56">
              <w:rPr>
                <w:sz w:val="22"/>
                <w:szCs w:val="22"/>
              </w:rPr>
              <w:t>all other</w:t>
            </w:r>
            <w:r>
              <w:rPr>
                <w:sz w:val="22"/>
                <w:szCs w:val="22"/>
              </w:rPr>
              <w:t xml:space="preserve"> site boundaries</w:t>
            </w:r>
            <w:r w:rsidR="00E76F56">
              <w:rPr>
                <w:sz w:val="22"/>
                <w:szCs w:val="22"/>
              </w:rPr>
              <w:t xml:space="preserve"> will maintain the existing walls with palisade panels for increased security</w:t>
            </w:r>
            <w:r w:rsidR="00E4608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="00E46089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aily recorded inspections will be undertaken to ensure any damages are rectified. Safety signs will be placed on the site entrance gates</w:t>
            </w:r>
            <w:r w:rsidR="00D63E91">
              <w:rPr>
                <w:sz w:val="22"/>
                <w:szCs w:val="22"/>
              </w:rPr>
              <w:t>.</w:t>
            </w:r>
          </w:p>
        </w:tc>
      </w:tr>
    </w:tbl>
    <w:p w14:paraId="2F2ABD09" w14:textId="77777777" w:rsidR="001464C3" w:rsidRPr="00F74981" w:rsidRDefault="001464C3" w:rsidP="00351C37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313CE0" w:rsidRPr="00F74981" w14:paraId="1F53E45A" w14:textId="77777777" w:rsidTr="00D55047">
        <w:tc>
          <w:tcPr>
            <w:tcW w:w="10064" w:type="dxa"/>
            <w:shd w:val="clear" w:color="auto" w:fill="E0E0E0"/>
          </w:tcPr>
          <w:p w14:paraId="15A2BDB1" w14:textId="77777777" w:rsidR="00313CE0" w:rsidRPr="00F74981" w:rsidRDefault="00ED132C" w:rsidP="00D55047">
            <w:pPr>
              <w:rPr>
                <w:b/>
                <w:sz w:val="22"/>
                <w:szCs w:val="22"/>
              </w:rPr>
            </w:pPr>
            <w:r w:rsidRPr="00F74981">
              <w:rPr>
                <w:b/>
                <w:sz w:val="22"/>
                <w:szCs w:val="22"/>
              </w:rPr>
              <w:t>Wheel washing facilities</w:t>
            </w:r>
          </w:p>
        </w:tc>
      </w:tr>
      <w:tr w:rsidR="00313CE0" w:rsidRPr="00F74981" w14:paraId="63A5EEBA" w14:textId="77777777" w:rsidTr="00D55047">
        <w:tc>
          <w:tcPr>
            <w:tcW w:w="10064" w:type="dxa"/>
          </w:tcPr>
          <w:p w14:paraId="706C1B3F" w14:textId="2403B2FA" w:rsidR="00313CE0" w:rsidRDefault="00E46089" w:rsidP="00D55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203388">
              <w:rPr>
                <w:sz w:val="22"/>
                <w:szCs w:val="22"/>
              </w:rPr>
              <w:t xml:space="preserve">heel washing </w:t>
            </w:r>
            <w:r>
              <w:rPr>
                <w:sz w:val="22"/>
                <w:szCs w:val="22"/>
              </w:rPr>
              <w:t xml:space="preserve">will be provided where required especially at the early stages, </w:t>
            </w:r>
            <w:r w:rsidR="00203388">
              <w:rPr>
                <w:sz w:val="22"/>
                <w:szCs w:val="22"/>
              </w:rPr>
              <w:t>to be complete</w:t>
            </w:r>
            <w:r>
              <w:rPr>
                <w:sz w:val="22"/>
                <w:szCs w:val="22"/>
              </w:rPr>
              <w:t>d</w:t>
            </w:r>
            <w:r w:rsidR="00EE34F9">
              <w:rPr>
                <w:sz w:val="22"/>
                <w:szCs w:val="22"/>
              </w:rPr>
              <w:t xml:space="preserve"> on site available prior to the</w:t>
            </w:r>
            <w:r>
              <w:rPr>
                <w:sz w:val="22"/>
                <w:szCs w:val="22"/>
              </w:rPr>
              <w:t xml:space="preserve"> shared drives</w:t>
            </w:r>
            <w:r w:rsidR="00EE34F9">
              <w:rPr>
                <w:sz w:val="22"/>
                <w:szCs w:val="22"/>
              </w:rPr>
              <w:t xml:space="preserve"> being complete, once the road is complete all deliveries will be complete from the tarmac surface, wheel washing will be still present if required.  </w:t>
            </w:r>
          </w:p>
          <w:p w14:paraId="7E5E35D2" w14:textId="77777777" w:rsidR="00EE34F9" w:rsidRDefault="00EE34F9" w:rsidP="00D55047">
            <w:pPr>
              <w:rPr>
                <w:sz w:val="22"/>
                <w:szCs w:val="22"/>
              </w:rPr>
            </w:pPr>
          </w:p>
          <w:p w14:paraId="7F43B5E4" w14:textId="77777777" w:rsidR="00EE34F9" w:rsidRPr="00F74981" w:rsidRDefault="00EE34F9" w:rsidP="00D55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While large excavations with materials taken off site are undertaken, we will also commission the use of a road sweeper</w:t>
            </w:r>
            <w:r w:rsidR="00802476">
              <w:rPr>
                <w:sz w:val="22"/>
                <w:szCs w:val="22"/>
              </w:rPr>
              <w:t>, when required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FC43BFF" w14:textId="77777777" w:rsidR="001464C3" w:rsidRPr="00F74981" w:rsidRDefault="001464C3" w:rsidP="00351C37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ED132C" w:rsidRPr="00F74981" w14:paraId="386AC919" w14:textId="77777777" w:rsidTr="00F74981">
        <w:tc>
          <w:tcPr>
            <w:tcW w:w="10064" w:type="dxa"/>
            <w:shd w:val="clear" w:color="auto" w:fill="E0E0E0"/>
          </w:tcPr>
          <w:p w14:paraId="563E8B17" w14:textId="77777777" w:rsidR="00ED132C" w:rsidRPr="00F74981" w:rsidRDefault="00ED132C" w:rsidP="00ED132C">
            <w:pPr>
              <w:rPr>
                <w:b/>
                <w:sz w:val="22"/>
                <w:szCs w:val="22"/>
              </w:rPr>
            </w:pPr>
            <w:r w:rsidRPr="00F74981">
              <w:rPr>
                <w:b/>
                <w:sz w:val="22"/>
                <w:szCs w:val="22"/>
              </w:rPr>
              <w:t>Measures to control the emission of dust/dirt and noise during construction.</w:t>
            </w:r>
          </w:p>
        </w:tc>
      </w:tr>
      <w:tr w:rsidR="00ED132C" w:rsidRPr="00F74981" w14:paraId="1CF0A222" w14:textId="77777777" w:rsidTr="00F74981">
        <w:tc>
          <w:tcPr>
            <w:tcW w:w="10064" w:type="dxa"/>
          </w:tcPr>
          <w:p w14:paraId="73B19274" w14:textId="40E34169" w:rsidR="00ED132C" w:rsidRDefault="00147EBA" w:rsidP="00F74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351C37">
              <w:rPr>
                <w:sz w:val="22"/>
                <w:szCs w:val="22"/>
              </w:rPr>
              <w:t>ebris</w:t>
            </w:r>
            <w:r w:rsidR="00EE34F9">
              <w:rPr>
                <w:sz w:val="22"/>
                <w:szCs w:val="22"/>
              </w:rPr>
              <w:t xml:space="preserve"> netting</w:t>
            </w:r>
            <w:r>
              <w:rPr>
                <w:sz w:val="22"/>
                <w:szCs w:val="22"/>
              </w:rPr>
              <w:t xml:space="preserve"> will be used where required</w:t>
            </w:r>
            <w:r w:rsidR="00EE34F9">
              <w:rPr>
                <w:sz w:val="22"/>
                <w:szCs w:val="22"/>
              </w:rPr>
              <w:t xml:space="preserve"> to prevent </w:t>
            </w:r>
            <w:r w:rsidR="00EF29CC">
              <w:rPr>
                <w:sz w:val="22"/>
                <w:szCs w:val="22"/>
              </w:rPr>
              <w:t xml:space="preserve">dust and dirt leaving the site.  </w:t>
            </w:r>
          </w:p>
          <w:p w14:paraId="7E4C6C31" w14:textId="77777777" w:rsidR="00EF29CC" w:rsidRDefault="00EF29CC" w:rsidP="00F74981">
            <w:pPr>
              <w:rPr>
                <w:sz w:val="22"/>
                <w:szCs w:val="22"/>
              </w:rPr>
            </w:pPr>
          </w:p>
          <w:p w14:paraId="54DF7DF9" w14:textId="3E753598" w:rsidR="00EF29CC" w:rsidRPr="00F74981" w:rsidRDefault="00EF29CC" w:rsidP="00F74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Our site hours will be 8AM to 5PM Monday to Friday with few Saturday mornings, noise will be kept to a minimum other than the generally day to day running of the site. </w:t>
            </w:r>
            <w:r w:rsidR="00014157">
              <w:rPr>
                <w:sz w:val="22"/>
                <w:szCs w:val="22"/>
              </w:rPr>
              <w:t xml:space="preserve"> The use of radios will be internal only.</w:t>
            </w:r>
          </w:p>
        </w:tc>
      </w:tr>
    </w:tbl>
    <w:p w14:paraId="5688C2AC" w14:textId="77777777" w:rsidR="005F77FA" w:rsidRPr="00F74981" w:rsidRDefault="005F77FA" w:rsidP="00506F81">
      <w:pPr>
        <w:ind w:left="142"/>
        <w:rPr>
          <w:sz w:val="22"/>
          <w:szCs w:val="22"/>
        </w:rPr>
      </w:pPr>
    </w:p>
    <w:p w14:paraId="57A135E5" w14:textId="77777777" w:rsidR="00A93C06" w:rsidRPr="00F74981" w:rsidRDefault="00A93C06" w:rsidP="00506F81">
      <w:pPr>
        <w:ind w:left="142"/>
        <w:rPr>
          <w:sz w:val="22"/>
          <w:szCs w:val="22"/>
        </w:rPr>
      </w:pPr>
    </w:p>
    <w:p w14:paraId="5E9D843B" w14:textId="77777777" w:rsidR="001464C3" w:rsidRPr="00EF29CC" w:rsidRDefault="001464C3" w:rsidP="00EF29CC">
      <w:pPr>
        <w:rPr>
          <w:sz w:val="22"/>
          <w:szCs w:val="22"/>
        </w:rPr>
      </w:pPr>
    </w:p>
    <w:sectPr w:rsidR="001464C3" w:rsidRPr="00EF29CC" w:rsidSect="00EF29CC">
      <w:headerReference w:type="default" r:id="rId10"/>
      <w:pgSz w:w="11906" w:h="16838" w:code="9"/>
      <w:pgMar w:top="851" w:right="851" w:bottom="851" w:left="63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40C3" w14:textId="77777777" w:rsidR="00110145" w:rsidRDefault="00110145">
      <w:pPr>
        <w:pStyle w:val="Header"/>
      </w:pPr>
      <w:r>
        <w:separator/>
      </w:r>
    </w:p>
  </w:endnote>
  <w:endnote w:type="continuationSeparator" w:id="0">
    <w:p w14:paraId="5E61C3C8" w14:textId="77777777" w:rsidR="00110145" w:rsidRDefault="0011014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477F" w14:textId="77777777" w:rsidR="00110145" w:rsidRDefault="00110145">
      <w:pPr>
        <w:pStyle w:val="Header"/>
      </w:pPr>
      <w:r>
        <w:separator/>
      </w:r>
    </w:p>
  </w:footnote>
  <w:footnote w:type="continuationSeparator" w:id="0">
    <w:p w14:paraId="49610410" w14:textId="77777777" w:rsidR="00110145" w:rsidRDefault="0011014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250" w:type="dxa"/>
      <w:tblLayout w:type="fixed"/>
      <w:tblLook w:val="0000" w:firstRow="0" w:lastRow="0" w:firstColumn="0" w:lastColumn="0" w:noHBand="0" w:noVBand="0"/>
    </w:tblPr>
    <w:tblGrid>
      <w:gridCol w:w="6474"/>
      <w:gridCol w:w="3590"/>
    </w:tblGrid>
    <w:tr w:rsidR="00F74981" w:rsidRPr="00847C2C" w14:paraId="0F3B5594" w14:textId="77777777" w:rsidTr="002D3820">
      <w:trPr>
        <w:cantSplit/>
        <w:trHeight w:val="274"/>
      </w:trPr>
      <w:tc>
        <w:tcPr>
          <w:tcW w:w="647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9CBD225" w14:textId="77777777" w:rsidR="00F74981" w:rsidRPr="006906AB" w:rsidRDefault="00F74981" w:rsidP="00A204CC">
          <w:pPr>
            <w:tabs>
              <w:tab w:val="right" w:pos="9026"/>
            </w:tabs>
            <w:suppressAutoHyphens/>
            <w:rPr>
              <w:rFonts w:cs="Arial"/>
              <w:b/>
              <w:sz w:val="28"/>
              <w:szCs w:val="28"/>
            </w:rPr>
          </w:pPr>
        </w:p>
        <w:p w14:paraId="6B497F19" w14:textId="77777777" w:rsidR="00F74981" w:rsidRPr="006906AB" w:rsidRDefault="00F74981" w:rsidP="00A204CC">
          <w:pPr>
            <w:tabs>
              <w:tab w:val="right" w:pos="9026"/>
            </w:tabs>
            <w:suppressAutoHyphens/>
            <w:rPr>
              <w:rFonts w:cs="Arial"/>
              <w:b/>
              <w:spacing w:val="-3"/>
              <w:sz w:val="28"/>
              <w:szCs w:val="28"/>
            </w:rPr>
          </w:pPr>
          <w:r w:rsidRPr="006906AB">
            <w:rPr>
              <w:rFonts w:cs="Arial"/>
              <w:b/>
              <w:spacing w:val="-3"/>
              <w:sz w:val="28"/>
              <w:szCs w:val="28"/>
            </w:rPr>
            <w:t>Construction Method Statement For:</w:t>
          </w:r>
        </w:p>
        <w:p w14:paraId="7D9DE1FB" w14:textId="77777777" w:rsidR="00F74981" w:rsidRPr="00847C2C" w:rsidRDefault="00F74981" w:rsidP="00A204CC">
          <w:pPr>
            <w:tabs>
              <w:tab w:val="right" w:pos="9026"/>
            </w:tabs>
            <w:suppressAutoHyphens/>
            <w:rPr>
              <w:rFonts w:cs="Arial"/>
              <w:b/>
              <w:spacing w:val="-3"/>
              <w:sz w:val="26"/>
            </w:rPr>
          </w:pPr>
          <w:r w:rsidRPr="006906AB">
            <w:rPr>
              <w:rFonts w:cs="Arial"/>
              <w:b/>
              <w:spacing w:val="-3"/>
              <w:sz w:val="28"/>
              <w:szCs w:val="28"/>
            </w:rPr>
            <w:t xml:space="preserve">Site setup, Traffic Management and </w:t>
          </w:r>
          <w:r>
            <w:rPr>
              <w:rFonts w:cs="Arial"/>
              <w:b/>
              <w:spacing w:val="-3"/>
              <w:sz w:val="28"/>
              <w:szCs w:val="28"/>
            </w:rPr>
            <w:t xml:space="preserve">Neighbourhood </w:t>
          </w:r>
          <w:r w:rsidRPr="006906AB">
            <w:rPr>
              <w:rFonts w:cs="Arial"/>
              <w:b/>
              <w:spacing w:val="-3"/>
              <w:sz w:val="28"/>
              <w:szCs w:val="28"/>
            </w:rPr>
            <w:t>Safeguarding</w:t>
          </w:r>
        </w:p>
      </w:tc>
      <w:tc>
        <w:tcPr>
          <w:tcW w:w="3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F35CC9" w14:textId="77777777" w:rsidR="00F74981" w:rsidRPr="002D3820" w:rsidRDefault="00F74981" w:rsidP="00804A03">
          <w:pPr>
            <w:pStyle w:val="TOAHeading"/>
            <w:tabs>
              <w:tab w:val="clear" w:pos="9000"/>
              <w:tab w:val="clear" w:pos="9360"/>
              <w:tab w:val="left" w:pos="5562"/>
              <w:tab w:val="right" w:pos="9026"/>
            </w:tabs>
            <w:spacing w:before="40" w:after="40"/>
            <w:rPr>
              <w:rFonts w:ascii="Arial" w:hAnsi="Arial" w:cs="Arial"/>
              <w:b/>
              <w:bCs/>
              <w:spacing w:val="-3"/>
              <w:szCs w:val="22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1813CBE" wp14:editId="46041439">
                <wp:extent cx="2076450" cy="74723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DAM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365" cy="753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74981" w:rsidRPr="00847C2C" w14:paraId="59A62A9B" w14:textId="77777777" w:rsidTr="006906AB">
      <w:trPr>
        <w:cantSplit/>
        <w:trHeight w:val="70"/>
      </w:trPr>
      <w:tc>
        <w:tcPr>
          <w:tcW w:w="647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4EB7F9" w14:textId="77777777" w:rsidR="00F74981" w:rsidRPr="00847C2C" w:rsidRDefault="00F74981" w:rsidP="006906AB">
          <w:pPr>
            <w:tabs>
              <w:tab w:val="right" w:pos="9026"/>
            </w:tabs>
            <w:suppressAutoHyphens/>
            <w:rPr>
              <w:rFonts w:cs="Arial"/>
              <w:b/>
              <w:spacing w:val="-3"/>
              <w:sz w:val="26"/>
            </w:rPr>
          </w:pPr>
        </w:p>
      </w:tc>
      <w:tc>
        <w:tcPr>
          <w:tcW w:w="3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F4C7EA" w14:textId="77777777" w:rsidR="00F74981" w:rsidRPr="00877D36" w:rsidRDefault="00F74981" w:rsidP="006906AB">
          <w:pPr>
            <w:tabs>
              <w:tab w:val="left" w:pos="5562"/>
              <w:tab w:val="right" w:pos="9026"/>
            </w:tabs>
            <w:suppressAutoHyphens/>
            <w:spacing w:before="40" w:after="40"/>
            <w:rPr>
              <w:rFonts w:cs="Arial"/>
              <w:b/>
              <w:i/>
              <w:spacing w:val="-3"/>
              <w:sz w:val="22"/>
              <w:szCs w:val="22"/>
            </w:rPr>
          </w:pPr>
          <w:r w:rsidRPr="00877D36">
            <w:rPr>
              <w:rFonts w:cs="Arial"/>
              <w:b/>
              <w:spacing w:val="-3"/>
              <w:sz w:val="22"/>
              <w:szCs w:val="22"/>
            </w:rPr>
            <w:t xml:space="preserve">Page Number:  </w: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begin"/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instrText xml:space="preserve"> PAGE </w:instrTex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separate"/>
          </w:r>
          <w:r w:rsidR="00802476">
            <w:rPr>
              <w:rStyle w:val="PageNumber"/>
              <w:rFonts w:cs="Arial"/>
              <w:b/>
              <w:bCs/>
              <w:noProof/>
              <w:spacing w:val="-3"/>
              <w:sz w:val="22"/>
              <w:szCs w:val="22"/>
            </w:rPr>
            <w:t>1</w: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end"/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t xml:space="preserve"> of </w: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begin"/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instrText xml:space="preserve"> NUMPAGES </w:instrTex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separate"/>
          </w:r>
          <w:r w:rsidR="00802476">
            <w:rPr>
              <w:rStyle w:val="PageNumber"/>
              <w:rFonts w:cs="Arial"/>
              <w:b/>
              <w:bCs/>
              <w:noProof/>
              <w:spacing w:val="-3"/>
              <w:sz w:val="22"/>
              <w:szCs w:val="22"/>
            </w:rPr>
            <w:t>1</w: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end"/>
          </w:r>
        </w:p>
      </w:tc>
    </w:tr>
    <w:tr w:rsidR="00F74981" w:rsidRPr="00847C2C" w14:paraId="0FA1D26D" w14:textId="77777777" w:rsidTr="006906AB">
      <w:trPr>
        <w:cantSplit/>
        <w:trHeight w:val="455"/>
      </w:trPr>
      <w:tc>
        <w:tcPr>
          <w:tcW w:w="647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BD6AE7" w14:textId="662A467F" w:rsidR="00F74981" w:rsidRPr="00877D36" w:rsidRDefault="00F74981" w:rsidP="006906AB">
          <w:pPr>
            <w:tabs>
              <w:tab w:val="right" w:pos="9026"/>
            </w:tabs>
            <w:suppressAutoHyphens/>
            <w:spacing w:before="40" w:after="40"/>
            <w:rPr>
              <w:rFonts w:cs="Arial"/>
              <w:b/>
              <w:spacing w:val="-3"/>
              <w:sz w:val="22"/>
              <w:szCs w:val="22"/>
            </w:rPr>
          </w:pPr>
          <w:r>
            <w:rPr>
              <w:rFonts w:cs="Arial"/>
              <w:b/>
              <w:spacing w:val="-3"/>
              <w:sz w:val="22"/>
              <w:szCs w:val="22"/>
            </w:rPr>
            <w:t xml:space="preserve">Development at: </w:t>
          </w:r>
          <w:r w:rsidR="00A33859">
            <w:rPr>
              <w:rFonts w:cs="Arial"/>
              <w:b/>
              <w:spacing w:val="-3"/>
              <w:sz w:val="22"/>
              <w:szCs w:val="22"/>
            </w:rPr>
            <w:t>8 Newbuild Homes at; Redbrook Road</w:t>
          </w:r>
        </w:p>
      </w:tc>
      <w:tc>
        <w:tcPr>
          <w:tcW w:w="359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AFDA7" w14:textId="0695C535" w:rsidR="00F74981" w:rsidRPr="006906AB" w:rsidRDefault="00F74981" w:rsidP="006906AB">
          <w:pPr>
            <w:tabs>
              <w:tab w:val="right" w:pos="9026"/>
            </w:tabs>
            <w:suppressAutoHyphens/>
            <w:spacing w:before="40" w:after="40"/>
            <w:rPr>
              <w:rFonts w:cs="Arial"/>
              <w:b/>
              <w:spacing w:val="-3"/>
              <w:sz w:val="22"/>
              <w:szCs w:val="22"/>
            </w:rPr>
          </w:pPr>
          <w:r w:rsidRPr="00877D36">
            <w:rPr>
              <w:rFonts w:cs="Arial"/>
              <w:b/>
              <w:spacing w:val="-3"/>
              <w:sz w:val="22"/>
              <w:szCs w:val="22"/>
            </w:rPr>
            <w:t>Issue Date:</w:t>
          </w:r>
          <w:r>
            <w:rPr>
              <w:rFonts w:cs="Arial"/>
              <w:b/>
              <w:spacing w:val="-3"/>
              <w:sz w:val="22"/>
              <w:szCs w:val="22"/>
            </w:rPr>
            <w:t xml:space="preserve"> </w:t>
          </w:r>
          <w:r w:rsidR="00A33859">
            <w:rPr>
              <w:rFonts w:cs="Arial"/>
              <w:b/>
              <w:spacing w:val="-3"/>
              <w:sz w:val="22"/>
              <w:szCs w:val="22"/>
            </w:rPr>
            <w:t xml:space="preserve">December </w:t>
          </w:r>
          <w:r>
            <w:rPr>
              <w:rFonts w:cs="Arial"/>
              <w:b/>
              <w:spacing w:val="-3"/>
              <w:sz w:val="22"/>
              <w:szCs w:val="22"/>
            </w:rPr>
            <w:t>2</w:t>
          </w:r>
          <w:r w:rsidR="00D63E91">
            <w:rPr>
              <w:rFonts w:cs="Arial"/>
              <w:b/>
              <w:spacing w:val="-3"/>
              <w:sz w:val="22"/>
              <w:szCs w:val="22"/>
            </w:rPr>
            <w:t>021</w:t>
          </w:r>
        </w:p>
      </w:tc>
    </w:tr>
  </w:tbl>
  <w:p w14:paraId="4E126282" w14:textId="77777777" w:rsidR="00F74981" w:rsidRDefault="00F74981">
    <w:pPr>
      <w:pStyle w:val="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632"/>
    <w:multiLevelType w:val="multilevel"/>
    <w:tmpl w:val="5D9A7B8A"/>
    <w:lvl w:ilvl="0">
      <w:start w:val="1"/>
      <w:numFmt w:val="decimal"/>
      <w:pStyle w:val="TableList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1321CE"/>
    <w:multiLevelType w:val="hybridMultilevel"/>
    <w:tmpl w:val="1888A1A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0591E"/>
    <w:multiLevelType w:val="hybridMultilevel"/>
    <w:tmpl w:val="4FF6F91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B5D9F"/>
    <w:multiLevelType w:val="hybridMultilevel"/>
    <w:tmpl w:val="E8F0D50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177D2"/>
    <w:multiLevelType w:val="hybridMultilevel"/>
    <w:tmpl w:val="0A80533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C1106"/>
    <w:multiLevelType w:val="hybridMultilevel"/>
    <w:tmpl w:val="AF76B71A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D93045"/>
    <w:multiLevelType w:val="hybridMultilevel"/>
    <w:tmpl w:val="E70085D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A3FB5"/>
    <w:multiLevelType w:val="hybridMultilevel"/>
    <w:tmpl w:val="91AAB650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3F5B8D"/>
    <w:multiLevelType w:val="hybridMultilevel"/>
    <w:tmpl w:val="FFE48CE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A02E9"/>
    <w:multiLevelType w:val="hybridMultilevel"/>
    <w:tmpl w:val="C0E2216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091CC3"/>
    <w:multiLevelType w:val="hybridMultilevel"/>
    <w:tmpl w:val="3EEE984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83312F"/>
    <w:multiLevelType w:val="hybridMultilevel"/>
    <w:tmpl w:val="D102B7E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A46EF"/>
    <w:multiLevelType w:val="hybridMultilevel"/>
    <w:tmpl w:val="1CF68E9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BF9"/>
    <w:multiLevelType w:val="hybridMultilevel"/>
    <w:tmpl w:val="6AD027C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D1B3F"/>
    <w:multiLevelType w:val="hybridMultilevel"/>
    <w:tmpl w:val="D7BE1BB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3F5911"/>
    <w:multiLevelType w:val="hybridMultilevel"/>
    <w:tmpl w:val="7840C21E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20980"/>
    <w:multiLevelType w:val="hybridMultilevel"/>
    <w:tmpl w:val="45F42340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334919"/>
    <w:multiLevelType w:val="hybridMultilevel"/>
    <w:tmpl w:val="FAB46E12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E327DD"/>
    <w:multiLevelType w:val="hybridMultilevel"/>
    <w:tmpl w:val="0AB41E1A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A5018C"/>
    <w:multiLevelType w:val="hybridMultilevel"/>
    <w:tmpl w:val="E6A4A53E"/>
    <w:lvl w:ilvl="0" w:tplc="278A2178">
      <w:start w:val="1"/>
      <w:numFmt w:val="bullet"/>
      <w:pStyle w:val="Tickboxes2"/>
      <w:lvlText w:val=""/>
      <w:lvlJc w:val="left"/>
      <w:pPr>
        <w:tabs>
          <w:tab w:val="num" w:pos="851"/>
        </w:tabs>
        <w:ind w:left="1134" w:hanging="283"/>
      </w:pPr>
      <w:rPr>
        <w:rFonts w:ascii="Wingdings" w:hAnsi="Wingdings" w:hint="default"/>
        <w:b/>
        <w:i w:val="0"/>
        <w:strike w:val="0"/>
        <w:dstrike w:val="0"/>
        <w:sz w:val="24"/>
        <w:szCs w:val="24"/>
        <w:vertAlign w:val="baseline"/>
      </w:rPr>
    </w:lvl>
    <w:lvl w:ilvl="1" w:tplc="854049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6AB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A9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E0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5E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B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CCF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8A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B3053"/>
    <w:multiLevelType w:val="hybridMultilevel"/>
    <w:tmpl w:val="1F7E6CB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797537"/>
    <w:multiLevelType w:val="hybridMultilevel"/>
    <w:tmpl w:val="0C08EE84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8C3C3D"/>
    <w:multiLevelType w:val="hybridMultilevel"/>
    <w:tmpl w:val="3D2C4F0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206D1"/>
    <w:multiLevelType w:val="hybridMultilevel"/>
    <w:tmpl w:val="443C0B5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7B5763"/>
    <w:multiLevelType w:val="hybridMultilevel"/>
    <w:tmpl w:val="85EC1F7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8062CF"/>
    <w:multiLevelType w:val="hybridMultilevel"/>
    <w:tmpl w:val="BF84E01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C54785"/>
    <w:multiLevelType w:val="hybridMultilevel"/>
    <w:tmpl w:val="1F76465A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305D63"/>
    <w:multiLevelType w:val="hybridMultilevel"/>
    <w:tmpl w:val="ADA088C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287D16"/>
    <w:multiLevelType w:val="hybridMultilevel"/>
    <w:tmpl w:val="36303A7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9F6CF4"/>
    <w:multiLevelType w:val="hybridMultilevel"/>
    <w:tmpl w:val="35A8B67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96872"/>
    <w:multiLevelType w:val="hybridMultilevel"/>
    <w:tmpl w:val="703E7502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886925"/>
    <w:multiLevelType w:val="hybridMultilevel"/>
    <w:tmpl w:val="BAECAA8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FD75AC"/>
    <w:multiLevelType w:val="hybridMultilevel"/>
    <w:tmpl w:val="4D7E3BD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11453E"/>
    <w:multiLevelType w:val="hybridMultilevel"/>
    <w:tmpl w:val="38046EE2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6E591B"/>
    <w:multiLevelType w:val="hybridMultilevel"/>
    <w:tmpl w:val="5EF415B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D4B21"/>
    <w:multiLevelType w:val="hybridMultilevel"/>
    <w:tmpl w:val="03E6E6CE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2B6A7B"/>
    <w:multiLevelType w:val="hybridMultilevel"/>
    <w:tmpl w:val="75E6978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1807E5"/>
    <w:multiLevelType w:val="hybridMultilevel"/>
    <w:tmpl w:val="0338E8FA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7C68F7"/>
    <w:multiLevelType w:val="hybridMultilevel"/>
    <w:tmpl w:val="A372DB58"/>
    <w:lvl w:ilvl="0" w:tplc="28AA7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  <w:u w:val="none"/>
      </w:rPr>
    </w:lvl>
    <w:lvl w:ilvl="1" w:tplc="4454C86E">
      <w:start w:val="1"/>
      <w:numFmt w:val="bullet"/>
      <w:pStyle w:val="Tablebulllet2"/>
      <w:lvlText w:val="-"/>
      <w:lvlJc w:val="left"/>
      <w:pPr>
        <w:tabs>
          <w:tab w:val="num" w:pos="1270"/>
        </w:tabs>
        <w:ind w:left="1270" w:firstLine="2"/>
      </w:pPr>
      <w:rPr>
        <w:rFonts w:ascii="Arial" w:hAnsi="Arial" w:hint="default"/>
        <w:color w:val="auto"/>
        <w:sz w:val="16"/>
        <w:szCs w:val="16"/>
        <w:u w:val="none"/>
      </w:rPr>
    </w:lvl>
    <w:lvl w:ilvl="2" w:tplc="C4081078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1DB2AEBE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62DAC44E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561CDD72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F210DE7A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8860391C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543A860A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9" w15:restartNumberingAfterBreak="0">
    <w:nsid w:val="77CB0961"/>
    <w:multiLevelType w:val="hybridMultilevel"/>
    <w:tmpl w:val="16A05BB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C15CF8"/>
    <w:multiLevelType w:val="hybridMultilevel"/>
    <w:tmpl w:val="A8704704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9C1C6F"/>
    <w:multiLevelType w:val="multilevel"/>
    <w:tmpl w:val="BE2A072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(W1)" w:hAnsi="Arial (W1)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Letter"/>
      <w:pStyle w:val="Heading3"/>
      <w:lvlText w:val="%3)"/>
      <w:lvlJc w:val="left"/>
      <w:pPr>
        <w:tabs>
          <w:tab w:val="num" w:pos="1985"/>
        </w:tabs>
        <w:ind w:left="1985" w:hanging="851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FCD228E"/>
    <w:multiLevelType w:val="multilevel"/>
    <w:tmpl w:val="EB22333A"/>
    <w:lvl w:ilvl="0">
      <w:start w:val="1"/>
      <w:numFmt w:val="bullet"/>
      <w:pStyle w:val="Tickboxes"/>
      <w:lvlText w:val="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  <w:b/>
        <w:i w:val="0"/>
        <w:strike w:val="0"/>
        <w:dstrike w:val="0"/>
        <w:sz w:val="24"/>
        <w:szCs w:val="24"/>
        <w:vertAlign w:val="baseline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trike w:val="0"/>
        <w:dstrike w:val="0"/>
        <w:sz w:val="24"/>
        <w:szCs w:val="24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8"/>
  </w:num>
  <w:num w:numId="3">
    <w:abstractNumId w:val="0"/>
  </w:num>
  <w:num w:numId="4">
    <w:abstractNumId w:val="19"/>
  </w:num>
  <w:num w:numId="5">
    <w:abstractNumId w:val="42"/>
  </w:num>
  <w:num w:numId="6">
    <w:abstractNumId w:val="11"/>
  </w:num>
  <w:num w:numId="7">
    <w:abstractNumId w:val="8"/>
  </w:num>
  <w:num w:numId="8">
    <w:abstractNumId w:val="31"/>
  </w:num>
  <w:num w:numId="9">
    <w:abstractNumId w:val="36"/>
  </w:num>
  <w:num w:numId="10">
    <w:abstractNumId w:val="32"/>
  </w:num>
  <w:num w:numId="11">
    <w:abstractNumId w:val="12"/>
  </w:num>
  <w:num w:numId="12">
    <w:abstractNumId w:val="34"/>
  </w:num>
  <w:num w:numId="13">
    <w:abstractNumId w:val="28"/>
  </w:num>
  <w:num w:numId="14">
    <w:abstractNumId w:val="10"/>
  </w:num>
  <w:num w:numId="15">
    <w:abstractNumId w:val="13"/>
  </w:num>
  <w:num w:numId="16">
    <w:abstractNumId w:val="22"/>
  </w:num>
  <w:num w:numId="17">
    <w:abstractNumId w:val="39"/>
  </w:num>
  <w:num w:numId="18">
    <w:abstractNumId w:val="21"/>
  </w:num>
  <w:num w:numId="19">
    <w:abstractNumId w:val="16"/>
  </w:num>
  <w:num w:numId="20">
    <w:abstractNumId w:val="18"/>
  </w:num>
  <w:num w:numId="21">
    <w:abstractNumId w:val="20"/>
  </w:num>
  <w:num w:numId="22">
    <w:abstractNumId w:val="25"/>
  </w:num>
  <w:num w:numId="23">
    <w:abstractNumId w:val="9"/>
  </w:num>
  <w:num w:numId="24">
    <w:abstractNumId w:val="3"/>
  </w:num>
  <w:num w:numId="25">
    <w:abstractNumId w:val="7"/>
  </w:num>
  <w:num w:numId="26">
    <w:abstractNumId w:val="23"/>
  </w:num>
  <w:num w:numId="27">
    <w:abstractNumId w:val="30"/>
  </w:num>
  <w:num w:numId="28">
    <w:abstractNumId w:val="26"/>
  </w:num>
  <w:num w:numId="29">
    <w:abstractNumId w:val="29"/>
  </w:num>
  <w:num w:numId="30">
    <w:abstractNumId w:val="33"/>
  </w:num>
  <w:num w:numId="31">
    <w:abstractNumId w:val="37"/>
  </w:num>
  <w:num w:numId="32">
    <w:abstractNumId w:val="14"/>
  </w:num>
  <w:num w:numId="33">
    <w:abstractNumId w:val="27"/>
  </w:num>
  <w:num w:numId="34">
    <w:abstractNumId w:val="40"/>
  </w:num>
  <w:num w:numId="35">
    <w:abstractNumId w:val="15"/>
  </w:num>
  <w:num w:numId="36">
    <w:abstractNumId w:val="1"/>
  </w:num>
  <w:num w:numId="37">
    <w:abstractNumId w:val="24"/>
  </w:num>
  <w:num w:numId="38">
    <w:abstractNumId w:val="17"/>
  </w:num>
  <w:num w:numId="39">
    <w:abstractNumId w:val="6"/>
  </w:num>
  <w:num w:numId="40">
    <w:abstractNumId w:val="35"/>
  </w:num>
  <w:num w:numId="41">
    <w:abstractNumId w:val="5"/>
  </w:num>
  <w:num w:numId="42">
    <w:abstractNumId w:val="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13"/>
    <w:rsid w:val="000101CC"/>
    <w:rsid w:val="00014157"/>
    <w:rsid w:val="0003295A"/>
    <w:rsid w:val="00032C5C"/>
    <w:rsid w:val="00097EB1"/>
    <w:rsid w:val="000B0FF2"/>
    <w:rsid w:val="000C17A5"/>
    <w:rsid w:val="000D03C6"/>
    <w:rsid w:val="000F0F71"/>
    <w:rsid w:val="00110145"/>
    <w:rsid w:val="00112203"/>
    <w:rsid w:val="0013283A"/>
    <w:rsid w:val="001464C3"/>
    <w:rsid w:val="00147EBA"/>
    <w:rsid w:val="00152304"/>
    <w:rsid w:val="001600FB"/>
    <w:rsid w:val="001811A0"/>
    <w:rsid w:val="001936FA"/>
    <w:rsid w:val="001A0E00"/>
    <w:rsid w:val="001B777A"/>
    <w:rsid w:val="001D33A8"/>
    <w:rsid w:val="00200E6E"/>
    <w:rsid w:val="00203388"/>
    <w:rsid w:val="00210490"/>
    <w:rsid w:val="00210F1F"/>
    <w:rsid w:val="00245392"/>
    <w:rsid w:val="002548A6"/>
    <w:rsid w:val="002630EF"/>
    <w:rsid w:val="00292430"/>
    <w:rsid w:val="002D3820"/>
    <w:rsid w:val="00310649"/>
    <w:rsid w:val="0031086F"/>
    <w:rsid w:val="00313CE0"/>
    <w:rsid w:val="0031596E"/>
    <w:rsid w:val="003408B8"/>
    <w:rsid w:val="00351C37"/>
    <w:rsid w:val="0036080E"/>
    <w:rsid w:val="003A0544"/>
    <w:rsid w:val="003C6664"/>
    <w:rsid w:val="004016F0"/>
    <w:rsid w:val="004032BC"/>
    <w:rsid w:val="004444D6"/>
    <w:rsid w:val="00475228"/>
    <w:rsid w:val="00506F81"/>
    <w:rsid w:val="00517294"/>
    <w:rsid w:val="00520F7E"/>
    <w:rsid w:val="0055595C"/>
    <w:rsid w:val="005709E5"/>
    <w:rsid w:val="005C255A"/>
    <w:rsid w:val="005C453B"/>
    <w:rsid w:val="005E1490"/>
    <w:rsid w:val="005E3110"/>
    <w:rsid w:val="005F3C6A"/>
    <w:rsid w:val="005F77FA"/>
    <w:rsid w:val="00634229"/>
    <w:rsid w:val="00651270"/>
    <w:rsid w:val="00656EE8"/>
    <w:rsid w:val="00665F16"/>
    <w:rsid w:val="00667882"/>
    <w:rsid w:val="006906AB"/>
    <w:rsid w:val="00690729"/>
    <w:rsid w:val="006A2815"/>
    <w:rsid w:val="006D2ADB"/>
    <w:rsid w:val="007206EF"/>
    <w:rsid w:val="00722699"/>
    <w:rsid w:val="00726C7B"/>
    <w:rsid w:val="00741C13"/>
    <w:rsid w:val="007A67A1"/>
    <w:rsid w:val="007B48A0"/>
    <w:rsid w:val="007D75CA"/>
    <w:rsid w:val="00802476"/>
    <w:rsid w:val="00804A03"/>
    <w:rsid w:val="00841811"/>
    <w:rsid w:val="00842014"/>
    <w:rsid w:val="00850341"/>
    <w:rsid w:val="00864F8B"/>
    <w:rsid w:val="00867A49"/>
    <w:rsid w:val="009303E0"/>
    <w:rsid w:val="00932B69"/>
    <w:rsid w:val="009424E9"/>
    <w:rsid w:val="0094273F"/>
    <w:rsid w:val="00967FF1"/>
    <w:rsid w:val="00982FCD"/>
    <w:rsid w:val="009B170D"/>
    <w:rsid w:val="009C04BD"/>
    <w:rsid w:val="009D6C4F"/>
    <w:rsid w:val="00A01BF9"/>
    <w:rsid w:val="00A07C76"/>
    <w:rsid w:val="00A204CC"/>
    <w:rsid w:val="00A253AD"/>
    <w:rsid w:val="00A2591C"/>
    <w:rsid w:val="00A33859"/>
    <w:rsid w:val="00A651E7"/>
    <w:rsid w:val="00A77263"/>
    <w:rsid w:val="00A93C06"/>
    <w:rsid w:val="00AA2766"/>
    <w:rsid w:val="00AA3482"/>
    <w:rsid w:val="00AC2DE7"/>
    <w:rsid w:val="00AD0A66"/>
    <w:rsid w:val="00AD23F0"/>
    <w:rsid w:val="00AE265B"/>
    <w:rsid w:val="00B03370"/>
    <w:rsid w:val="00B104E5"/>
    <w:rsid w:val="00B51090"/>
    <w:rsid w:val="00B65EB0"/>
    <w:rsid w:val="00BD6AE0"/>
    <w:rsid w:val="00BE056A"/>
    <w:rsid w:val="00BE687A"/>
    <w:rsid w:val="00C01A04"/>
    <w:rsid w:val="00C45510"/>
    <w:rsid w:val="00C556E8"/>
    <w:rsid w:val="00C65205"/>
    <w:rsid w:val="00CB42B4"/>
    <w:rsid w:val="00D41527"/>
    <w:rsid w:val="00D55047"/>
    <w:rsid w:val="00D62BAB"/>
    <w:rsid w:val="00D62F0F"/>
    <w:rsid w:val="00D63E91"/>
    <w:rsid w:val="00D71A6A"/>
    <w:rsid w:val="00D818DA"/>
    <w:rsid w:val="00DB1E5D"/>
    <w:rsid w:val="00E36E5B"/>
    <w:rsid w:val="00E41F61"/>
    <w:rsid w:val="00E420D3"/>
    <w:rsid w:val="00E46089"/>
    <w:rsid w:val="00E50DD7"/>
    <w:rsid w:val="00E76F56"/>
    <w:rsid w:val="00E833C7"/>
    <w:rsid w:val="00EC2DC1"/>
    <w:rsid w:val="00ED132C"/>
    <w:rsid w:val="00EE0F8A"/>
    <w:rsid w:val="00EE34F9"/>
    <w:rsid w:val="00EF29CC"/>
    <w:rsid w:val="00F00572"/>
    <w:rsid w:val="00F12760"/>
    <w:rsid w:val="00F142D0"/>
    <w:rsid w:val="00F30048"/>
    <w:rsid w:val="00F74981"/>
    <w:rsid w:val="00FD4A95"/>
    <w:rsid w:val="00F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E34EC"/>
  <w15:docId w15:val="{031ABC4E-D9BC-444F-B75A-42062B35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b/>
      <w:color w:val="000080"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center" w:pos="9781"/>
        <w:tab w:val="right" w:pos="10800"/>
      </w:tabs>
    </w:pPr>
    <w:rPr>
      <w:color w:val="000080"/>
      <w:sz w:val="14"/>
    </w:rPr>
  </w:style>
  <w:style w:type="paragraph" w:customStyle="1" w:styleId="PSS4">
    <w:name w:val="PSS4"/>
    <w:basedOn w:val="Normal"/>
    <w:pPr>
      <w:keepNext/>
      <w:jc w:val="both"/>
      <w:outlineLvl w:val="4"/>
    </w:pPr>
    <w:rPr>
      <w:rFonts w:ascii="Times New Roman" w:hAnsi="Times New Roman"/>
      <w:b/>
      <w:bCs/>
      <w:sz w:val="28"/>
      <w:lang w:eastAsia="en-US"/>
    </w:rPr>
  </w:style>
  <w:style w:type="paragraph" w:customStyle="1" w:styleId="Tabletext">
    <w:name w:val="Table text"/>
    <w:basedOn w:val="Normal"/>
    <w:pPr>
      <w:spacing w:before="40" w:after="40"/>
    </w:pPr>
    <w:rPr>
      <w:color w:val="000000"/>
      <w:lang w:eastAsia="en-US"/>
    </w:rPr>
  </w:style>
  <w:style w:type="paragraph" w:customStyle="1" w:styleId="Tickboxes">
    <w:name w:val="Tick boxes"/>
    <w:pPr>
      <w:numPr>
        <w:numId w:val="5"/>
      </w:numPr>
      <w:spacing w:before="20" w:after="20"/>
    </w:pPr>
    <w:rPr>
      <w:rFonts w:ascii="Arial" w:hAnsi="Arial"/>
      <w:color w:val="000000"/>
      <w:sz w:val="16"/>
      <w:szCs w:val="16"/>
      <w:lang w:val="en-US" w:eastAsia="en-US"/>
    </w:rPr>
  </w:style>
  <w:style w:type="paragraph" w:styleId="ListBullet2">
    <w:name w:val="List Bullet 2"/>
    <w:basedOn w:val="ListBullet"/>
    <w:pPr>
      <w:numPr>
        <w:ilvl w:val="1"/>
        <w:numId w:val="5"/>
      </w:numPr>
    </w:pPr>
  </w:style>
  <w:style w:type="paragraph" w:customStyle="1" w:styleId="Tabletextbold">
    <w:name w:val="Table text bold"/>
    <w:basedOn w:val="Tabletext"/>
    <w:rPr>
      <w:b/>
    </w:rPr>
  </w:style>
  <w:style w:type="character" w:customStyle="1" w:styleId="TabletextChar">
    <w:name w:val="Table text Char"/>
    <w:basedOn w:val="DefaultParagraphFont"/>
    <w:rPr>
      <w:rFonts w:ascii="Arial" w:hAnsi="Arial"/>
      <w:noProof w:val="0"/>
      <w:color w:val="000000"/>
      <w:lang w:val="en-AU" w:eastAsia="en-US" w:bidi="ar-SA"/>
    </w:rPr>
  </w:style>
  <w:style w:type="paragraph" w:customStyle="1" w:styleId="Headerdate">
    <w:name w:val="Header date"/>
    <w:basedOn w:val="Normal"/>
    <w:rPr>
      <w:color w:val="000080"/>
    </w:rPr>
  </w:style>
  <w:style w:type="paragraph" w:customStyle="1" w:styleId="Tablebullet">
    <w:name w:val="Table bullet"/>
    <w:basedOn w:val="ListBullet"/>
    <w:pPr>
      <w:keepLines/>
      <w:tabs>
        <w:tab w:val="clear" w:pos="360"/>
        <w:tab w:val="num" w:pos="720"/>
      </w:tabs>
      <w:spacing w:after="120"/>
      <w:ind w:left="720"/>
    </w:pPr>
  </w:style>
  <w:style w:type="paragraph" w:customStyle="1" w:styleId="Tablebulllet2">
    <w:name w:val="Table bulllet 2"/>
    <w:basedOn w:val="ListBullet2"/>
    <w:pPr>
      <w:numPr>
        <w:numId w:val="2"/>
      </w:numPr>
      <w:tabs>
        <w:tab w:val="clear" w:pos="1270"/>
      </w:tabs>
      <w:spacing w:after="120"/>
      <w:ind w:left="1078" w:hanging="284"/>
    </w:pPr>
    <w:rPr>
      <w:szCs w:val="22"/>
    </w:rPr>
  </w:style>
  <w:style w:type="paragraph" w:styleId="ListBullet">
    <w:name w:val="List Bullet"/>
    <w:basedOn w:val="Normal"/>
    <w:pPr>
      <w:tabs>
        <w:tab w:val="num" w:pos="360"/>
      </w:tabs>
      <w:ind w:left="360" w:hanging="360"/>
    </w:pPr>
  </w:style>
  <w:style w:type="character" w:styleId="PageNumber">
    <w:name w:val="page number"/>
    <w:basedOn w:val="DefaultParagraphFont"/>
  </w:style>
  <w:style w:type="paragraph" w:customStyle="1" w:styleId="TableList">
    <w:name w:val="Table List"/>
    <w:basedOn w:val="Normal"/>
    <w:pPr>
      <w:numPr>
        <w:numId w:val="3"/>
      </w:numPr>
      <w:spacing w:before="40" w:after="40"/>
    </w:pPr>
    <w:rPr>
      <w:color w:val="000000"/>
      <w:sz w:val="18"/>
      <w:lang w:eastAsia="en-US"/>
    </w:rPr>
  </w:style>
  <w:style w:type="paragraph" w:customStyle="1" w:styleId="SPACE">
    <w:name w:val="SPACE"/>
    <w:basedOn w:val="BodyText"/>
    <w:pPr>
      <w:keepLines/>
      <w:spacing w:after="0"/>
    </w:pPr>
    <w:rPr>
      <w:snapToGrid w:val="0"/>
      <w:sz w:val="6"/>
      <w:szCs w:val="6"/>
    </w:rPr>
  </w:style>
  <w:style w:type="paragraph" w:styleId="BodyText">
    <w:name w:val="Body Text"/>
    <w:basedOn w:val="Normal"/>
    <w:pPr>
      <w:spacing w:after="120"/>
    </w:pPr>
  </w:style>
  <w:style w:type="paragraph" w:customStyle="1" w:styleId="Tickboxes2">
    <w:name w:val="Tick boxes 2"/>
    <w:pPr>
      <w:numPr>
        <w:numId w:val="4"/>
      </w:numPr>
    </w:pPr>
    <w:rPr>
      <w:rFonts w:ascii="Arial" w:hAnsi="Arial"/>
      <w:color w:val="000000"/>
      <w:sz w:val="16"/>
      <w:szCs w:val="16"/>
      <w:lang w:val="en-US" w:eastAsia="en-US"/>
    </w:rPr>
  </w:style>
  <w:style w:type="paragraph" w:customStyle="1" w:styleId="Body-noindent">
    <w:name w:val="Body - no indent"/>
    <w:pPr>
      <w:widowControl w:val="0"/>
      <w:autoSpaceDE w:val="0"/>
      <w:autoSpaceDN w:val="0"/>
      <w:adjustRightInd w:val="0"/>
      <w:spacing w:after="142" w:line="280" w:lineRule="exact"/>
    </w:pPr>
    <w:rPr>
      <w:szCs w:val="24"/>
      <w:lang w:val="en-US" w:eastAsia="en-US"/>
    </w:rPr>
  </w:style>
  <w:style w:type="character" w:styleId="FollowedHyperlink">
    <w:name w:val="FollowedHyperlink"/>
    <w:basedOn w:val="DefaultParagraphFont"/>
    <w:rsid w:val="00BE056A"/>
    <w:rPr>
      <w:color w:val="800080"/>
      <w:u w:val="single"/>
    </w:rPr>
  </w:style>
  <w:style w:type="paragraph" w:styleId="TOAHeading">
    <w:name w:val="toa heading"/>
    <w:basedOn w:val="Normal"/>
    <w:next w:val="Normal"/>
    <w:semiHidden/>
    <w:rsid w:val="00A204CC"/>
    <w:pPr>
      <w:tabs>
        <w:tab w:val="left" w:pos="9000"/>
        <w:tab w:val="right" w:pos="9360"/>
      </w:tabs>
      <w:suppressAutoHyphens/>
      <w:spacing w:before="60" w:after="120"/>
      <w:jc w:val="both"/>
    </w:pPr>
    <w:rPr>
      <w:rFonts w:ascii="Helv 10pt" w:hAnsi="Helv 10pt"/>
      <w:snapToGrid w:val="0"/>
      <w:kern w:val="20"/>
      <w:sz w:val="22"/>
      <w:lang w:val="en-US" w:eastAsia="en-US"/>
    </w:rPr>
  </w:style>
  <w:style w:type="paragraph" w:styleId="BalloonText">
    <w:name w:val="Balloon Text"/>
    <w:basedOn w:val="Normal"/>
    <w:semiHidden/>
    <w:rsid w:val="003408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408B8"/>
    <w:rPr>
      <w:sz w:val="16"/>
      <w:szCs w:val="16"/>
    </w:rPr>
  </w:style>
  <w:style w:type="paragraph" w:styleId="CommentText">
    <w:name w:val="annotation text"/>
    <w:basedOn w:val="Normal"/>
    <w:semiHidden/>
    <w:rsid w:val="003408B8"/>
  </w:style>
  <w:style w:type="paragraph" w:styleId="CommentSubject">
    <w:name w:val="annotation subject"/>
    <w:basedOn w:val="CommentText"/>
    <w:next w:val="CommentText"/>
    <w:semiHidden/>
    <w:rsid w:val="003408B8"/>
    <w:rPr>
      <w:b/>
      <w:bCs/>
    </w:rPr>
  </w:style>
  <w:style w:type="paragraph" w:styleId="NormalWeb">
    <w:name w:val="Normal (Web)"/>
    <w:basedOn w:val="Normal"/>
    <w:rsid w:val="000D03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63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E0F8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19404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555555"/>
        <w:bottom w:val="single" w:sz="48" w:space="0" w:color="555555"/>
        <w:right w:val="single" w:sz="48" w:space="0" w:color="555555"/>
      </w:divBdr>
      <w:divsChild>
        <w:div w:id="420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1252">
                  <w:marLeft w:val="96"/>
                  <w:marRight w:val="192"/>
                  <w:marTop w:val="0"/>
                  <w:marBottom w:val="120"/>
                  <w:divBdr>
                    <w:top w:val="none" w:sz="0" w:space="0" w:color="auto"/>
                    <w:left w:val="single" w:sz="48" w:space="31" w:color="EEEEEE"/>
                    <w:bottom w:val="single" w:sz="48" w:space="18" w:color="CCCCCC"/>
                    <w:right w:val="single" w:sz="48" w:space="31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OUPS\odexec\GM-SHF\00%20Self%20Insurance%20Project\Tools\Form_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Supporting Documentation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E7489492-4B81-4E08-8B0A-CFDF14E64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3654B-A013-4E2F-A0F0-10578B759A61}"/>
</file>

<file path=customXml/itemProps3.xml><?xml version="1.0" encoding="utf-8"?>
<ds:datastoreItem xmlns:ds="http://schemas.openxmlformats.org/officeDocument/2006/customXml" ds:itemID="{42447DB6-1A26-481D-BD5A-C3173C62AF80}">
  <ds:schemaRefs>
    <ds:schemaRef ds:uri="http://schemas.microsoft.com/office/2006/metadata/properties"/>
    <ds:schemaRef ds:uri="http://schemas.microsoft.com/office/infopath/2007/PartnerControls"/>
    <ds:schemaRef ds:uri="f4edfb27-fdcf-4944-9520-fd54d4f1d725"/>
    <ds:schemaRef ds:uri="0cd06ba8-3d0c-4461-b1b9-cc99cc46e70a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</Template>
  <TotalTime>4407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Management Plan Template (TMP)</vt:lpstr>
    </vt:vector>
  </TitlesOfParts>
  <Company>HCI/Staffwill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Management Plan Template (TMP)</dc:title>
  <dc:subject/>
  <dc:creator>Catherine Lardie</dc:creator>
  <cp:keywords/>
  <cp:lastModifiedBy>Hyde , James (SPATIAL PLANNING PROJECT MANAGER)</cp:lastModifiedBy>
  <cp:revision>12</cp:revision>
  <cp:lastPrinted>2021-09-08T10:36:00Z</cp:lastPrinted>
  <dcterms:created xsi:type="dcterms:W3CDTF">2017-11-11T16:23:00Z</dcterms:created>
  <dcterms:modified xsi:type="dcterms:W3CDTF">2022-05-13T13:05:00Z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DEECD_Author">
    <vt:lpwstr>59;#Education|04f092db-7b9b-477e-8cd2-91878913f378</vt:lpwstr>
  </property>
  <property fmtid="{D5CDD505-2E9C-101B-9397-08002B2CF9AE}" pid="4" name="DEECD_SubjectCategory">
    <vt:lpwstr>57;#Administration|c730c9c3-9aac-4250-81b6-4c4e6e105907</vt:lpwstr>
  </property>
  <property fmtid="{D5CDD505-2E9C-101B-9397-08002B2CF9AE}" pid="5" name="DEECD_PageLanguage">
    <vt:lpwstr>1;#en-AU|09a79c66-a57f-4b52-ac52-4c16941cab37</vt:lpwstr>
  </property>
  <property fmtid="{D5CDD505-2E9C-101B-9397-08002B2CF9AE}" pid="6" name="DEECD_ItemType">
    <vt:lpwstr>74;#Form / Template|5f1f68ef-2ca8-4d00-8a3c-0def39ace763</vt:lpwstr>
  </property>
  <property fmtid="{D5CDD505-2E9C-101B-9397-08002B2CF9AE}" pid="7" name="DEECD_Audience">
    <vt:lpwstr>129;#Students|a9021d24-53aa-4cc0-8f90-0782c94ea88b</vt:lpwstr>
  </property>
  <property fmtid="{D5CDD505-2E9C-101B-9397-08002B2CF9AE}" pid="8" name="Order">
    <vt:r8>878900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