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D38B" w14:textId="77777777" w:rsidR="00127BD9" w:rsidRPr="00127BD9" w:rsidRDefault="00127BD9" w:rsidP="00127BD9">
      <w:pPr>
        <w:rPr>
          <w:b/>
          <w:bCs/>
        </w:rPr>
      </w:pPr>
      <w:r w:rsidRPr="00127BD9">
        <w:rPr>
          <w:b/>
          <w:bCs/>
        </w:rPr>
        <w:t>Sequential Assessment for Imagination Street – Proposed Role Play Centre</w:t>
      </w:r>
    </w:p>
    <w:p w14:paraId="73C731F7" w14:textId="0D20E3A2" w:rsidR="00127BD9" w:rsidRPr="00127BD9" w:rsidRDefault="00127BD9" w:rsidP="00127BD9">
      <w:r w:rsidRPr="00127BD9">
        <w:rPr>
          <w:b/>
          <w:bCs/>
        </w:rPr>
        <w:t>Applicant:</w:t>
      </w:r>
      <w:r w:rsidRPr="00127BD9">
        <w:t xml:space="preserve"> Andrew Clayton</w:t>
      </w:r>
    </w:p>
    <w:p w14:paraId="3BD4D2F5" w14:textId="77777777" w:rsidR="00127BD9" w:rsidRPr="00127BD9" w:rsidRDefault="00127BD9" w:rsidP="00127BD9">
      <w:r w:rsidRPr="00127BD9">
        <w:pict w14:anchorId="54E8FD4D">
          <v:rect id="_x0000_i1025" style="width:0;height:1.5pt" o:hralign="center" o:hrstd="t" o:hr="t" fillcolor="#a0a0a0" stroked="f"/>
        </w:pict>
      </w:r>
    </w:p>
    <w:p w14:paraId="6EADCF27" w14:textId="77777777" w:rsidR="00127BD9" w:rsidRPr="00127BD9" w:rsidRDefault="00127BD9" w:rsidP="00127BD9">
      <w:pPr>
        <w:rPr>
          <w:b/>
          <w:bCs/>
        </w:rPr>
      </w:pPr>
      <w:r w:rsidRPr="00127BD9">
        <w:rPr>
          <w:b/>
          <w:bCs/>
        </w:rPr>
        <w:t>1. Introduction</w:t>
      </w:r>
    </w:p>
    <w:p w14:paraId="1CF0F651" w14:textId="63664348" w:rsidR="00127BD9" w:rsidRPr="00127BD9" w:rsidRDefault="00127BD9" w:rsidP="00127BD9">
      <w:r w:rsidRPr="00127BD9">
        <w:t xml:space="preserve">This sequential assessment is submitted in support of a planning application for the proposed change of use of a commercial unit on </w:t>
      </w:r>
      <w:proofErr w:type="spellStart"/>
      <w:r w:rsidR="00E35C27">
        <w:t>Redbrook</w:t>
      </w:r>
      <w:proofErr w:type="spellEnd"/>
      <w:r w:rsidR="00E35C27">
        <w:t xml:space="preserve"> business park</w:t>
      </w:r>
      <w:r w:rsidRPr="00127BD9">
        <w:t xml:space="preserve"> for a children’s indoor role play centre, </w:t>
      </w:r>
      <w:r w:rsidRPr="00127BD9">
        <w:rPr>
          <w:i/>
          <w:iCs/>
        </w:rPr>
        <w:t>Imagination Street</w:t>
      </w:r>
      <w:r w:rsidRPr="00127BD9">
        <w:t xml:space="preserve">. The purpose of this assessment is to demonstrate that there are </w:t>
      </w:r>
      <w:proofErr w:type="gramStart"/>
      <w:r w:rsidRPr="00127BD9">
        <w:t>no</w:t>
      </w:r>
      <w:proofErr w:type="gramEnd"/>
      <w:r w:rsidRPr="00127BD9">
        <w:t xml:space="preserve"> sequentially preferable in-centre or edge-of-centre locations that are both suitable and available, in line with the National Planning Policy Framework (NPPF) and Barnsley Local Plan Policy TC1.</w:t>
      </w:r>
    </w:p>
    <w:p w14:paraId="632651AC" w14:textId="77777777" w:rsidR="00127BD9" w:rsidRPr="00127BD9" w:rsidRDefault="00127BD9" w:rsidP="00127BD9">
      <w:r w:rsidRPr="00127BD9">
        <w:pict w14:anchorId="094A440C">
          <v:rect id="_x0000_i1026" style="width:0;height:1.5pt" o:hralign="center" o:hrstd="t" o:hr="t" fillcolor="#a0a0a0" stroked="f"/>
        </w:pict>
      </w:r>
    </w:p>
    <w:p w14:paraId="501821EE" w14:textId="77777777" w:rsidR="00127BD9" w:rsidRPr="00127BD9" w:rsidRDefault="00127BD9" w:rsidP="00127BD9">
      <w:pPr>
        <w:rPr>
          <w:b/>
          <w:bCs/>
        </w:rPr>
      </w:pPr>
      <w:r w:rsidRPr="00127BD9">
        <w:rPr>
          <w:b/>
          <w:bCs/>
        </w:rPr>
        <w:t>2. Description of Proposed Development</w:t>
      </w:r>
    </w:p>
    <w:p w14:paraId="48DA7742" w14:textId="77777777" w:rsidR="00127BD9" w:rsidRPr="00127BD9" w:rsidRDefault="00127BD9" w:rsidP="00127BD9">
      <w:r w:rsidRPr="00127BD9">
        <w:rPr>
          <w:i/>
          <w:iCs/>
        </w:rPr>
        <w:t>Imagination Street</w:t>
      </w:r>
      <w:r w:rsidRPr="00127BD9">
        <w:t xml:space="preserve"> is a planned children’s indoor role play centre for ages 0–8 years, operating as a structured and sessional-use business. All children are accompanied by a parent or guardian.</w:t>
      </w:r>
    </w:p>
    <w:p w14:paraId="001E09FA" w14:textId="77777777" w:rsidR="00127BD9" w:rsidRPr="00127BD9" w:rsidRDefault="00127BD9" w:rsidP="00127BD9">
      <w:r w:rsidRPr="00127BD9">
        <w:t>The business model is based around two to three pre-booked sessions per day:</w:t>
      </w:r>
    </w:p>
    <w:p w14:paraId="1B717DFC" w14:textId="77777777" w:rsidR="00127BD9" w:rsidRPr="00127BD9" w:rsidRDefault="00127BD9" w:rsidP="00127BD9">
      <w:pPr>
        <w:numPr>
          <w:ilvl w:val="0"/>
          <w:numId w:val="1"/>
        </w:numPr>
      </w:pPr>
      <w:r w:rsidRPr="00127BD9">
        <w:rPr>
          <w:b/>
          <w:bCs/>
        </w:rPr>
        <w:t>Weekday capacity</w:t>
      </w:r>
      <w:r w:rsidRPr="00127BD9">
        <w:t>: 20 children per session maximum.</w:t>
      </w:r>
    </w:p>
    <w:p w14:paraId="6BFAEEEF" w14:textId="77777777" w:rsidR="00127BD9" w:rsidRPr="00127BD9" w:rsidRDefault="00127BD9" w:rsidP="00127BD9">
      <w:pPr>
        <w:numPr>
          <w:ilvl w:val="0"/>
          <w:numId w:val="1"/>
        </w:numPr>
      </w:pPr>
      <w:r w:rsidRPr="00127BD9">
        <w:rPr>
          <w:b/>
          <w:bCs/>
        </w:rPr>
        <w:t>Weekend capacity</w:t>
      </w:r>
      <w:r w:rsidRPr="00127BD9">
        <w:t>: 30 children per session maximum (when other businesses on the estate are generally closed).</w:t>
      </w:r>
    </w:p>
    <w:p w14:paraId="14AD2C81" w14:textId="77777777" w:rsidR="00127BD9" w:rsidRPr="00127BD9" w:rsidRDefault="00127BD9" w:rsidP="00127BD9">
      <w:pPr>
        <w:numPr>
          <w:ilvl w:val="0"/>
          <w:numId w:val="1"/>
        </w:numPr>
      </w:pPr>
      <w:r w:rsidRPr="00127BD9">
        <w:t>Includes a small café and parent seating area.</w:t>
      </w:r>
    </w:p>
    <w:p w14:paraId="52911712" w14:textId="77777777" w:rsidR="00127BD9" w:rsidRPr="00127BD9" w:rsidRDefault="00127BD9" w:rsidP="00127BD9">
      <w:pPr>
        <w:numPr>
          <w:ilvl w:val="0"/>
          <w:numId w:val="1"/>
        </w:numPr>
      </w:pPr>
      <w:r w:rsidRPr="00127BD9">
        <w:t>Birthday party bookings on weekends.</w:t>
      </w:r>
    </w:p>
    <w:p w14:paraId="232EEEF3" w14:textId="77777777" w:rsidR="00127BD9" w:rsidRPr="00127BD9" w:rsidRDefault="00127BD9" w:rsidP="00127BD9">
      <w:r w:rsidRPr="00127BD9">
        <w:t xml:space="preserve">This business will operate </w:t>
      </w:r>
      <w:r w:rsidRPr="00127BD9">
        <w:rPr>
          <w:b/>
          <w:bCs/>
        </w:rPr>
        <w:t>alongside</w:t>
      </w:r>
      <w:r w:rsidRPr="00127BD9">
        <w:t>, but not under, a separate Community Interest Company (</w:t>
      </w:r>
      <w:r w:rsidRPr="00127BD9">
        <w:rPr>
          <w:i/>
          <w:iCs/>
        </w:rPr>
        <w:t>Fostering Imagination CIC</w:t>
      </w:r>
      <w:r w:rsidRPr="00127BD9">
        <w:t>), which will provide free sessions and access to role play opportunities for children in care and low-income families across the borough.</w:t>
      </w:r>
    </w:p>
    <w:p w14:paraId="5A9198D9" w14:textId="77777777" w:rsidR="00127BD9" w:rsidRPr="00127BD9" w:rsidRDefault="00127BD9" w:rsidP="00127BD9">
      <w:r w:rsidRPr="00127BD9">
        <w:pict w14:anchorId="0121485F">
          <v:rect id="_x0000_i1027" style="width:0;height:1.5pt" o:hralign="center" o:hrstd="t" o:hr="t" fillcolor="#a0a0a0" stroked="f"/>
        </w:pict>
      </w:r>
    </w:p>
    <w:p w14:paraId="1EA19BFE" w14:textId="77777777" w:rsidR="00127BD9" w:rsidRPr="00127BD9" w:rsidRDefault="00127BD9" w:rsidP="00127BD9">
      <w:pPr>
        <w:rPr>
          <w:b/>
          <w:bCs/>
        </w:rPr>
      </w:pPr>
      <w:r w:rsidRPr="00127BD9">
        <w:rPr>
          <w:b/>
          <w:bCs/>
        </w:rPr>
        <w:t>3. Site Requirements</w:t>
      </w:r>
    </w:p>
    <w:p w14:paraId="38EA2CFA" w14:textId="77777777" w:rsidR="00127BD9" w:rsidRPr="00127BD9" w:rsidRDefault="00127BD9" w:rsidP="00127BD9">
      <w:r w:rsidRPr="00127BD9">
        <w:t>The use requires:</w:t>
      </w:r>
    </w:p>
    <w:p w14:paraId="0ACC3429" w14:textId="77777777" w:rsidR="00127BD9" w:rsidRPr="00127BD9" w:rsidRDefault="00127BD9" w:rsidP="00127BD9">
      <w:pPr>
        <w:numPr>
          <w:ilvl w:val="0"/>
          <w:numId w:val="2"/>
        </w:numPr>
      </w:pPr>
      <w:r w:rsidRPr="00127BD9">
        <w:t>2,500–3,000 sq. ft. of uninterrupted floor space.</w:t>
      </w:r>
    </w:p>
    <w:p w14:paraId="56F9CB5B" w14:textId="77777777" w:rsidR="00127BD9" w:rsidRPr="00127BD9" w:rsidRDefault="00127BD9" w:rsidP="00127BD9">
      <w:pPr>
        <w:numPr>
          <w:ilvl w:val="0"/>
          <w:numId w:val="2"/>
        </w:numPr>
      </w:pPr>
      <w:r w:rsidRPr="00127BD9">
        <w:t>Ground floor location (or lift access).</w:t>
      </w:r>
    </w:p>
    <w:p w14:paraId="47FB4051" w14:textId="77777777" w:rsidR="00127BD9" w:rsidRPr="00127BD9" w:rsidRDefault="00127BD9" w:rsidP="00127BD9">
      <w:pPr>
        <w:numPr>
          <w:ilvl w:val="0"/>
          <w:numId w:val="2"/>
        </w:numPr>
      </w:pPr>
      <w:r w:rsidRPr="00127BD9">
        <w:t>Minimum 6 on-site parking spaces, with overflow or shared spaces.</w:t>
      </w:r>
    </w:p>
    <w:p w14:paraId="0CDF509A" w14:textId="77777777" w:rsidR="00127BD9" w:rsidRPr="00127BD9" w:rsidRDefault="00127BD9" w:rsidP="00127BD9">
      <w:pPr>
        <w:numPr>
          <w:ilvl w:val="0"/>
          <w:numId w:val="2"/>
        </w:numPr>
      </w:pPr>
      <w:r w:rsidRPr="00127BD9">
        <w:t>Accessible pedestrian routes and family-friendly access.</w:t>
      </w:r>
    </w:p>
    <w:p w14:paraId="6E23CA02" w14:textId="77777777" w:rsidR="00127BD9" w:rsidRPr="00127BD9" w:rsidRDefault="00127BD9" w:rsidP="00127BD9">
      <w:pPr>
        <w:numPr>
          <w:ilvl w:val="0"/>
          <w:numId w:val="2"/>
        </w:numPr>
      </w:pPr>
      <w:r w:rsidRPr="00127BD9">
        <w:lastRenderedPageBreak/>
        <w:t>Affordable rent to sustain social value initiatives.</w:t>
      </w:r>
    </w:p>
    <w:p w14:paraId="6E09930E" w14:textId="77777777" w:rsidR="00127BD9" w:rsidRPr="00127BD9" w:rsidRDefault="00127BD9" w:rsidP="00127BD9">
      <w:pPr>
        <w:numPr>
          <w:ilvl w:val="0"/>
          <w:numId w:val="2"/>
        </w:numPr>
      </w:pPr>
      <w:r w:rsidRPr="00127BD9">
        <w:t>Safe internal layout and sufficient ceiling height (min. 3m).</w:t>
      </w:r>
    </w:p>
    <w:p w14:paraId="005B6252" w14:textId="77777777" w:rsidR="00127BD9" w:rsidRPr="00127BD9" w:rsidRDefault="00127BD9" w:rsidP="00127BD9">
      <w:r w:rsidRPr="00127BD9">
        <w:pict w14:anchorId="74E206FA">
          <v:rect id="_x0000_i1028" style="width:0;height:1.5pt" o:hralign="center" o:hrstd="t" o:hr="t" fillcolor="#a0a0a0" stroked="f"/>
        </w:pict>
      </w:r>
    </w:p>
    <w:p w14:paraId="4CD79C5C" w14:textId="77777777" w:rsidR="00127BD9" w:rsidRPr="00127BD9" w:rsidRDefault="00127BD9" w:rsidP="00127BD9">
      <w:pPr>
        <w:rPr>
          <w:b/>
          <w:bCs/>
        </w:rPr>
      </w:pPr>
      <w:r w:rsidRPr="00127BD9">
        <w:rPr>
          <w:b/>
          <w:bCs/>
        </w:rPr>
        <w:t>4. Search Area and Methodology</w:t>
      </w:r>
    </w:p>
    <w:p w14:paraId="06965496" w14:textId="77777777" w:rsidR="00127BD9" w:rsidRPr="00127BD9" w:rsidRDefault="00127BD9" w:rsidP="00127BD9">
      <w:r w:rsidRPr="00127BD9">
        <w:t>The sequential site search covered:</w:t>
      </w:r>
    </w:p>
    <w:p w14:paraId="5037B437" w14:textId="77777777" w:rsidR="00127BD9" w:rsidRPr="00127BD9" w:rsidRDefault="00127BD9" w:rsidP="00127BD9">
      <w:pPr>
        <w:numPr>
          <w:ilvl w:val="0"/>
          <w:numId w:val="3"/>
        </w:numPr>
      </w:pPr>
      <w:r w:rsidRPr="00127BD9">
        <w:t>Barnsley Town Centre and edge-of-centre (within 300m).</w:t>
      </w:r>
    </w:p>
    <w:p w14:paraId="040984E4" w14:textId="77777777" w:rsidR="00127BD9" w:rsidRPr="00127BD9" w:rsidRDefault="00127BD9" w:rsidP="00127BD9">
      <w:pPr>
        <w:numPr>
          <w:ilvl w:val="0"/>
          <w:numId w:val="3"/>
        </w:numPr>
      </w:pPr>
      <w:r w:rsidRPr="00127BD9">
        <w:t>Local centres in residential neighbourhoods.</w:t>
      </w:r>
    </w:p>
    <w:p w14:paraId="7C3BC94F" w14:textId="77777777" w:rsidR="00127BD9" w:rsidRPr="00127BD9" w:rsidRDefault="00127BD9" w:rsidP="00127BD9">
      <w:pPr>
        <w:numPr>
          <w:ilvl w:val="0"/>
          <w:numId w:val="3"/>
        </w:numPr>
      </w:pPr>
      <w:r w:rsidRPr="00127BD9">
        <w:t>Commercial premises listed by local agents and online property portals:</w:t>
      </w:r>
    </w:p>
    <w:p w14:paraId="1CA6DB88" w14:textId="77777777" w:rsidR="00127BD9" w:rsidRPr="00127BD9" w:rsidRDefault="00127BD9" w:rsidP="00127BD9">
      <w:pPr>
        <w:numPr>
          <w:ilvl w:val="1"/>
          <w:numId w:val="3"/>
        </w:numPr>
      </w:pPr>
      <w:r w:rsidRPr="00127BD9">
        <w:t>Barnsley Council</w:t>
      </w:r>
    </w:p>
    <w:p w14:paraId="48409F63" w14:textId="77777777" w:rsidR="00127BD9" w:rsidRPr="00127BD9" w:rsidRDefault="00127BD9" w:rsidP="00127BD9">
      <w:pPr>
        <w:numPr>
          <w:ilvl w:val="1"/>
          <w:numId w:val="3"/>
        </w:numPr>
      </w:pPr>
      <w:r w:rsidRPr="00127BD9">
        <w:t>Rightmove Commercial</w:t>
      </w:r>
    </w:p>
    <w:p w14:paraId="722F6E88" w14:textId="77777777" w:rsidR="00127BD9" w:rsidRPr="00127BD9" w:rsidRDefault="00127BD9" w:rsidP="00127BD9">
      <w:pPr>
        <w:numPr>
          <w:ilvl w:val="1"/>
          <w:numId w:val="3"/>
        </w:numPr>
      </w:pPr>
      <w:proofErr w:type="spellStart"/>
      <w:r w:rsidRPr="00127BD9">
        <w:t>Realla</w:t>
      </w:r>
      <w:proofErr w:type="spellEnd"/>
    </w:p>
    <w:p w14:paraId="20B041E2" w14:textId="77777777" w:rsidR="00127BD9" w:rsidRPr="00127BD9" w:rsidRDefault="00127BD9" w:rsidP="00127BD9">
      <w:pPr>
        <w:numPr>
          <w:ilvl w:val="1"/>
          <w:numId w:val="3"/>
        </w:numPr>
      </w:pPr>
      <w:r w:rsidRPr="00127BD9">
        <w:t>Zoopla</w:t>
      </w:r>
    </w:p>
    <w:p w14:paraId="24DC32ED" w14:textId="77777777" w:rsidR="00127BD9" w:rsidRPr="00127BD9" w:rsidRDefault="00127BD9" w:rsidP="00127BD9">
      <w:pPr>
        <w:numPr>
          <w:ilvl w:val="1"/>
          <w:numId w:val="3"/>
        </w:numPr>
      </w:pPr>
      <w:r w:rsidRPr="00127BD9">
        <w:t xml:space="preserve">Smiths, </w:t>
      </w:r>
      <w:proofErr w:type="spellStart"/>
      <w:r w:rsidRPr="00127BD9">
        <w:t>Wilbys</w:t>
      </w:r>
      <w:proofErr w:type="spellEnd"/>
      <w:r w:rsidRPr="00127BD9">
        <w:t>, BE Group</w:t>
      </w:r>
    </w:p>
    <w:p w14:paraId="2E9A6DF0" w14:textId="77777777" w:rsidR="00127BD9" w:rsidRPr="00127BD9" w:rsidRDefault="00127BD9" w:rsidP="00127BD9">
      <w:r w:rsidRPr="00127BD9">
        <w:t xml:space="preserve">Only ground floor properties between 2,500–3,500 sq. ft. </w:t>
      </w:r>
      <w:proofErr w:type="gramStart"/>
      <w:r w:rsidRPr="00127BD9">
        <w:t>were</w:t>
      </w:r>
      <w:proofErr w:type="gramEnd"/>
      <w:r w:rsidRPr="00127BD9">
        <w:t xml:space="preserve"> considered.</w:t>
      </w:r>
    </w:p>
    <w:p w14:paraId="757860BC" w14:textId="77777777" w:rsidR="00127BD9" w:rsidRPr="00127BD9" w:rsidRDefault="00127BD9" w:rsidP="00127BD9">
      <w:r w:rsidRPr="00127BD9">
        <w:pict w14:anchorId="1E3293F1">
          <v:rect id="_x0000_i1029" style="width:0;height:1.5pt" o:hralign="center" o:hrstd="t" o:hr="t" fillcolor="#a0a0a0" stroked="f"/>
        </w:pict>
      </w:r>
    </w:p>
    <w:p w14:paraId="2623F041" w14:textId="77777777" w:rsidR="00127BD9" w:rsidRPr="00127BD9" w:rsidRDefault="00127BD9" w:rsidP="00127BD9">
      <w:pPr>
        <w:rPr>
          <w:b/>
          <w:bCs/>
        </w:rPr>
      </w:pPr>
      <w:r w:rsidRPr="00127BD9">
        <w:rPr>
          <w:b/>
          <w:bCs/>
        </w:rPr>
        <w:t>5. Sites Reviewed</w:t>
      </w:r>
    </w:p>
    <w:p w14:paraId="4BC4AD14" w14:textId="77777777" w:rsidR="00127BD9" w:rsidRPr="00127BD9" w:rsidRDefault="00127BD9" w:rsidP="00127BD9">
      <w:pPr>
        <w:rPr>
          <w:b/>
          <w:bCs/>
        </w:rPr>
      </w:pPr>
      <w:r w:rsidRPr="00127BD9">
        <w:rPr>
          <w:b/>
          <w:bCs/>
        </w:rPr>
        <w:t>Town Centre and Edge-of-Centre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8"/>
        <w:gridCol w:w="1093"/>
        <w:gridCol w:w="4735"/>
      </w:tblGrid>
      <w:tr w:rsidR="00127BD9" w:rsidRPr="00127BD9" w14:paraId="1392AE84" w14:textId="77777777" w:rsidTr="00127BD9">
        <w:trPr>
          <w:tblHeader/>
          <w:tblCellSpacing w:w="15" w:type="dxa"/>
        </w:trPr>
        <w:tc>
          <w:tcPr>
            <w:tcW w:w="0" w:type="auto"/>
            <w:vAlign w:val="center"/>
            <w:hideMark/>
          </w:tcPr>
          <w:p w14:paraId="5330AC56" w14:textId="77777777" w:rsidR="00127BD9" w:rsidRPr="00127BD9" w:rsidRDefault="00127BD9" w:rsidP="00127BD9">
            <w:pPr>
              <w:rPr>
                <w:b/>
                <w:bCs/>
              </w:rPr>
            </w:pPr>
            <w:r w:rsidRPr="00127BD9">
              <w:rPr>
                <w:b/>
                <w:bCs/>
              </w:rPr>
              <w:t>Address/Location</w:t>
            </w:r>
          </w:p>
        </w:tc>
        <w:tc>
          <w:tcPr>
            <w:tcW w:w="0" w:type="auto"/>
            <w:vAlign w:val="center"/>
            <w:hideMark/>
          </w:tcPr>
          <w:p w14:paraId="0D503171" w14:textId="77777777" w:rsidR="00127BD9" w:rsidRPr="00127BD9" w:rsidRDefault="00127BD9" w:rsidP="00127BD9">
            <w:pPr>
              <w:rPr>
                <w:b/>
                <w:bCs/>
              </w:rPr>
            </w:pPr>
            <w:r w:rsidRPr="00127BD9">
              <w:rPr>
                <w:b/>
                <w:bCs/>
              </w:rPr>
              <w:t>Size (sq. ft.)</w:t>
            </w:r>
          </w:p>
        </w:tc>
        <w:tc>
          <w:tcPr>
            <w:tcW w:w="0" w:type="auto"/>
            <w:vAlign w:val="center"/>
            <w:hideMark/>
          </w:tcPr>
          <w:p w14:paraId="5885797E" w14:textId="77777777" w:rsidR="00127BD9" w:rsidRPr="00127BD9" w:rsidRDefault="00127BD9" w:rsidP="00127BD9">
            <w:pPr>
              <w:rPr>
                <w:b/>
                <w:bCs/>
              </w:rPr>
            </w:pPr>
            <w:r w:rsidRPr="00127BD9">
              <w:rPr>
                <w:b/>
                <w:bCs/>
              </w:rPr>
              <w:t>Outcome</w:t>
            </w:r>
          </w:p>
        </w:tc>
      </w:tr>
      <w:tr w:rsidR="00127BD9" w:rsidRPr="00127BD9" w14:paraId="00B0FB6B" w14:textId="77777777" w:rsidTr="00127BD9">
        <w:trPr>
          <w:tblCellSpacing w:w="15" w:type="dxa"/>
        </w:trPr>
        <w:tc>
          <w:tcPr>
            <w:tcW w:w="0" w:type="auto"/>
            <w:vAlign w:val="center"/>
            <w:hideMark/>
          </w:tcPr>
          <w:p w14:paraId="7D3DCC53" w14:textId="77777777" w:rsidR="00127BD9" w:rsidRPr="00127BD9" w:rsidRDefault="00127BD9" w:rsidP="00127BD9">
            <w:r w:rsidRPr="00127BD9">
              <w:t>Alhambra Shopping Centre (various)</w:t>
            </w:r>
          </w:p>
        </w:tc>
        <w:tc>
          <w:tcPr>
            <w:tcW w:w="0" w:type="auto"/>
            <w:vAlign w:val="center"/>
            <w:hideMark/>
          </w:tcPr>
          <w:p w14:paraId="46D48C34" w14:textId="77777777" w:rsidR="00127BD9" w:rsidRPr="00127BD9" w:rsidRDefault="00127BD9" w:rsidP="00127BD9">
            <w:r w:rsidRPr="00127BD9">
              <w:t>800–1,200</w:t>
            </w:r>
          </w:p>
        </w:tc>
        <w:tc>
          <w:tcPr>
            <w:tcW w:w="0" w:type="auto"/>
            <w:vAlign w:val="center"/>
            <w:hideMark/>
          </w:tcPr>
          <w:p w14:paraId="63139110" w14:textId="77777777" w:rsidR="00127BD9" w:rsidRPr="00127BD9" w:rsidRDefault="00127BD9" w:rsidP="00127BD9">
            <w:r w:rsidRPr="00127BD9">
              <w:t>Too small, no kitchen/toilets, limited internal layout flexibility</w:t>
            </w:r>
          </w:p>
        </w:tc>
      </w:tr>
      <w:tr w:rsidR="00127BD9" w:rsidRPr="00127BD9" w14:paraId="0BDBABE2" w14:textId="77777777" w:rsidTr="00127BD9">
        <w:trPr>
          <w:tblCellSpacing w:w="15" w:type="dxa"/>
        </w:trPr>
        <w:tc>
          <w:tcPr>
            <w:tcW w:w="0" w:type="auto"/>
            <w:vAlign w:val="center"/>
            <w:hideMark/>
          </w:tcPr>
          <w:p w14:paraId="20A9DADD" w14:textId="77777777" w:rsidR="00127BD9" w:rsidRPr="00127BD9" w:rsidRDefault="00127BD9" w:rsidP="00127BD9">
            <w:r w:rsidRPr="00127BD9">
              <w:t>Cheapside</w:t>
            </w:r>
          </w:p>
        </w:tc>
        <w:tc>
          <w:tcPr>
            <w:tcW w:w="0" w:type="auto"/>
            <w:vAlign w:val="center"/>
            <w:hideMark/>
          </w:tcPr>
          <w:p w14:paraId="2F3E2375" w14:textId="77777777" w:rsidR="00127BD9" w:rsidRPr="00127BD9" w:rsidRDefault="00127BD9" w:rsidP="00127BD9">
            <w:r w:rsidRPr="00127BD9">
              <w:t>1,500</w:t>
            </w:r>
          </w:p>
        </w:tc>
        <w:tc>
          <w:tcPr>
            <w:tcW w:w="0" w:type="auto"/>
            <w:vAlign w:val="center"/>
            <w:hideMark/>
          </w:tcPr>
          <w:p w14:paraId="7DE3164E" w14:textId="77777777" w:rsidR="00127BD9" w:rsidRPr="00127BD9" w:rsidRDefault="00127BD9" w:rsidP="00127BD9">
            <w:r w:rsidRPr="00127BD9">
              <w:t>No parking, narrow layout</w:t>
            </w:r>
          </w:p>
        </w:tc>
      </w:tr>
      <w:tr w:rsidR="00127BD9" w:rsidRPr="00127BD9" w14:paraId="0E7F9DF1" w14:textId="77777777" w:rsidTr="00127BD9">
        <w:trPr>
          <w:tblCellSpacing w:w="15" w:type="dxa"/>
        </w:trPr>
        <w:tc>
          <w:tcPr>
            <w:tcW w:w="0" w:type="auto"/>
            <w:vAlign w:val="center"/>
            <w:hideMark/>
          </w:tcPr>
          <w:p w14:paraId="055DAA70" w14:textId="77777777" w:rsidR="00127BD9" w:rsidRPr="00127BD9" w:rsidRDefault="00127BD9" w:rsidP="00127BD9">
            <w:r w:rsidRPr="00127BD9">
              <w:t>Peel Street (ex-café)</w:t>
            </w:r>
          </w:p>
        </w:tc>
        <w:tc>
          <w:tcPr>
            <w:tcW w:w="0" w:type="auto"/>
            <w:vAlign w:val="center"/>
            <w:hideMark/>
          </w:tcPr>
          <w:p w14:paraId="75603A0A" w14:textId="77777777" w:rsidR="00127BD9" w:rsidRPr="00127BD9" w:rsidRDefault="00127BD9" w:rsidP="00127BD9">
            <w:r w:rsidRPr="00127BD9">
              <w:t>900</w:t>
            </w:r>
          </w:p>
        </w:tc>
        <w:tc>
          <w:tcPr>
            <w:tcW w:w="0" w:type="auto"/>
            <w:vAlign w:val="center"/>
            <w:hideMark/>
          </w:tcPr>
          <w:p w14:paraId="079F8A0C" w14:textId="77777777" w:rsidR="00127BD9" w:rsidRPr="00127BD9" w:rsidRDefault="00127BD9" w:rsidP="00127BD9">
            <w:r w:rsidRPr="00127BD9">
              <w:t>Too small, non-viable</w:t>
            </w:r>
          </w:p>
        </w:tc>
      </w:tr>
    </w:tbl>
    <w:p w14:paraId="50DAE723" w14:textId="77777777" w:rsidR="00127BD9" w:rsidRPr="00127BD9" w:rsidRDefault="00127BD9" w:rsidP="00127BD9">
      <w:pPr>
        <w:rPr>
          <w:b/>
          <w:bCs/>
        </w:rPr>
      </w:pPr>
      <w:r w:rsidRPr="00127BD9">
        <w:rPr>
          <w:b/>
          <w:bCs/>
        </w:rPr>
        <w:t>Local Centres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642"/>
        <w:gridCol w:w="5844"/>
      </w:tblGrid>
      <w:tr w:rsidR="00127BD9" w:rsidRPr="00127BD9" w14:paraId="250C58FD" w14:textId="77777777" w:rsidTr="00127BD9">
        <w:trPr>
          <w:tblHeader/>
          <w:tblCellSpacing w:w="15" w:type="dxa"/>
        </w:trPr>
        <w:tc>
          <w:tcPr>
            <w:tcW w:w="0" w:type="auto"/>
            <w:vAlign w:val="center"/>
            <w:hideMark/>
          </w:tcPr>
          <w:p w14:paraId="78E21994" w14:textId="77777777" w:rsidR="00127BD9" w:rsidRPr="00127BD9" w:rsidRDefault="00127BD9" w:rsidP="00127BD9">
            <w:pPr>
              <w:rPr>
                <w:b/>
                <w:bCs/>
              </w:rPr>
            </w:pPr>
            <w:r w:rsidRPr="00127BD9">
              <w:rPr>
                <w:b/>
                <w:bCs/>
              </w:rPr>
              <w:t>Address</w:t>
            </w:r>
          </w:p>
        </w:tc>
        <w:tc>
          <w:tcPr>
            <w:tcW w:w="0" w:type="auto"/>
            <w:vAlign w:val="center"/>
            <w:hideMark/>
          </w:tcPr>
          <w:p w14:paraId="14FC4A3D" w14:textId="77777777" w:rsidR="00127BD9" w:rsidRPr="00127BD9" w:rsidRDefault="00127BD9" w:rsidP="00127BD9">
            <w:pPr>
              <w:rPr>
                <w:b/>
                <w:bCs/>
              </w:rPr>
            </w:pPr>
            <w:r w:rsidRPr="00127BD9">
              <w:rPr>
                <w:b/>
                <w:bCs/>
              </w:rPr>
              <w:t>Size</w:t>
            </w:r>
          </w:p>
        </w:tc>
        <w:tc>
          <w:tcPr>
            <w:tcW w:w="0" w:type="auto"/>
            <w:vAlign w:val="center"/>
            <w:hideMark/>
          </w:tcPr>
          <w:p w14:paraId="2DB8C939" w14:textId="77777777" w:rsidR="00127BD9" w:rsidRPr="00127BD9" w:rsidRDefault="00127BD9" w:rsidP="00127BD9">
            <w:pPr>
              <w:rPr>
                <w:b/>
                <w:bCs/>
              </w:rPr>
            </w:pPr>
            <w:r w:rsidRPr="00127BD9">
              <w:rPr>
                <w:b/>
                <w:bCs/>
              </w:rPr>
              <w:t>Outcome</w:t>
            </w:r>
          </w:p>
        </w:tc>
      </w:tr>
      <w:tr w:rsidR="00127BD9" w:rsidRPr="00127BD9" w14:paraId="3C93E172" w14:textId="77777777" w:rsidTr="00127BD9">
        <w:trPr>
          <w:tblCellSpacing w:w="15" w:type="dxa"/>
        </w:trPr>
        <w:tc>
          <w:tcPr>
            <w:tcW w:w="0" w:type="auto"/>
            <w:vAlign w:val="center"/>
            <w:hideMark/>
          </w:tcPr>
          <w:p w14:paraId="65BEAE1C" w14:textId="77777777" w:rsidR="00127BD9" w:rsidRPr="00127BD9" w:rsidRDefault="00127BD9" w:rsidP="00127BD9">
            <w:r w:rsidRPr="00127BD9">
              <w:t>Wombwell High Street</w:t>
            </w:r>
          </w:p>
        </w:tc>
        <w:tc>
          <w:tcPr>
            <w:tcW w:w="0" w:type="auto"/>
            <w:vAlign w:val="center"/>
            <w:hideMark/>
          </w:tcPr>
          <w:p w14:paraId="5F2A5DF5" w14:textId="77777777" w:rsidR="00127BD9" w:rsidRPr="00127BD9" w:rsidRDefault="00127BD9" w:rsidP="00127BD9">
            <w:r w:rsidRPr="00127BD9">
              <w:t>1,200</w:t>
            </w:r>
          </w:p>
        </w:tc>
        <w:tc>
          <w:tcPr>
            <w:tcW w:w="0" w:type="auto"/>
            <w:vAlign w:val="center"/>
            <w:hideMark/>
          </w:tcPr>
          <w:p w14:paraId="77636E85" w14:textId="77777777" w:rsidR="00127BD9" w:rsidRPr="00127BD9" w:rsidRDefault="00127BD9" w:rsidP="00127BD9">
            <w:r w:rsidRPr="00127BD9">
              <w:t>Too small</w:t>
            </w:r>
          </w:p>
        </w:tc>
      </w:tr>
      <w:tr w:rsidR="00127BD9" w:rsidRPr="00127BD9" w14:paraId="57F9848E" w14:textId="77777777" w:rsidTr="00127BD9">
        <w:trPr>
          <w:tblCellSpacing w:w="15" w:type="dxa"/>
        </w:trPr>
        <w:tc>
          <w:tcPr>
            <w:tcW w:w="0" w:type="auto"/>
            <w:vAlign w:val="center"/>
            <w:hideMark/>
          </w:tcPr>
          <w:p w14:paraId="103CB972" w14:textId="77777777" w:rsidR="00127BD9" w:rsidRPr="00127BD9" w:rsidRDefault="00127BD9" w:rsidP="00127BD9">
            <w:r w:rsidRPr="00127BD9">
              <w:t>Royston Centre</w:t>
            </w:r>
          </w:p>
        </w:tc>
        <w:tc>
          <w:tcPr>
            <w:tcW w:w="0" w:type="auto"/>
            <w:vAlign w:val="center"/>
            <w:hideMark/>
          </w:tcPr>
          <w:p w14:paraId="04A2F487" w14:textId="77777777" w:rsidR="00127BD9" w:rsidRPr="00127BD9" w:rsidRDefault="00127BD9" w:rsidP="00127BD9">
            <w:r w:rsidRPr="00127BD9">
              <w:t>1,400</w:t>
            </w:r>
          </w:p>
        </w:tc>
        <w:tc>
          <w:tcPr>
            <w:tcW w:w="0" w:type="auto"/>
            <w:vAlign w:val="center"/>
            <w:hideMark/>
          </w:tcPr>
          <w:p w14:paraId="7A8B95AA" w14:textId="77777777" w:rsidR="00127BD9" w:rsidRPr="00127BD9" w:rsidRDefault="00127BD9" w:rsidP="00127BD9">
            <w:r w:rsidRPr="00127BD9">
              <w:t>Limited availability, no dedicated parking</w:t>
            </w:r>
          </w:p>
        </w:tc>
      </w:tr>
      <w:tr w:rsidR="00127BD9" w:rsidRPr="00127BD9" w14:paraId="0C594035" w14:textId="77777777" w:rsidTr="00127BD9">
        <w:trPr>
          <w:tblCellSpacing w:w="15" w:type="dxa"/>
        </w:trPr>
        <w:tc>
          <w:tcPr>
            <w:tcW w:w="0" w:type="auto"/>
            <w:vAlign w:val="center"/>
            <w:hideMark/>
          </w:tcPr>
          <w:p w14:paraId="1A5F27B6" w14:textId="77777777" w:rsidR="00127BD9" w:rsidRPr="00127BD9" w:rsidRDefault="00127BD9" w:rsidP="00127BD9">
            <w:proofErr w:type="spellStart"/>
            <w:r w:rsidRPr="00127BD9">
              <w:lastRenderedPageBreak/>
              <w:t>Dodworth</w:t>
            </w:r>
            <w:proofErr w:type="spellEnd"/>
            <w:r w:rsidRPr="00127BD9">
              <w:t xml:space="preserve"> local precinct</w:t>
            </w:r>
          </w:p>
        </w:tc>
        <w:tc>
          <w:tcPr>
            <w:tcW w:w="0" w:type="auto"/>
            <w:vAlign w:val="center"/>
            <w:hideMark/>
          </w:tcPr>
          <w:p w14:paraId="4F8328B7" w14:textId="77777777" w:rsidR="00127BD9" w:rsidRPr="00127BD9" w:rsidRDefault="00127BD9" w:rsidP="00127BD9">
            <w:r w:rsidRPr="00127BD9">
              <w:t>1,800</w:t>
            </w:r>
          </w:p>
        </w:tc>
        <w:tc>
          <w:tcPr>
            <w:tcW w:w="0" w:type="auto"/>
            <w:vAlign w:val="center"/>
            <w:hideMark/>
          </w:tcPr>
          <w:p w14:paraId="75BDC5C6" w14:textId="77777777" w:rsidR="00127BD9" w:rsidRPr="00127BD9" w:rsidRDefault="00127BD9" w:rsidP="00127BD9">
            <w:r w:rsidRPr="00127BD9">
              <w:t>Not available long-term, limited internal layout suitability</w:t>
            </w:r>
          </w:p>
        </w:tc>
      </w:tr>
    </w:tbl>
    <w:p w14:paraId="5700EDB8" w14:textId="77777777" w:rsidR="00127BD9" w:rsidRPr="00127BD9" w:rsidRDefault="00127BD9" w:rsidP="00127BD9">
      <w:pPr>
        <w:rPr>
          <w:b/>
          <w:bCs/>
        </w:rPr>
      </w:pPr>
      <w:r w:rsidRPr="00127BD9">
        <w:rPr>
          <w:b/>
          <w:bCs/>
        </w:rPr>
        <w:t>Other Out-of-Centre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4"/>
        <w:gridCol w:w="3879"/>
      </w:tblGrid>
      <w:tr w:rsidR="00127BD9" w:rsidRPr="00127BD9" w14:paraId="11CA6396" w14:textId="77777777" w:rsidTr="00127BD9">
        <w:trPr>
          <w:tblHeader/>
          <w:tblCellSpacing w:w="15" w:type="dxa"/>
        </w:trPr>
        <w:tc>
          <w:tcPr>
            <w:tcW w:w="0" w:type="auto"/>
            <w:vAlign w:val="center"/>
            <w:hideMark/>
          </w:tcPr>
          <w:p w14:paraId="59AC9C16" w14:textId="77777777" w:rsidR="00127BD9" w:rsidRPr="00127BD9" w:rsidRDefault="00127BD9" w:rsidP="00127BD9">
            <w:pPr>
              <w:rPr>
                <w:b/>
                <w:bCs/>
              </w:rPr>
            </w:pPr>
            <w:r w:rsidRPr="00127BD9">
              <w:rPr>
                <w:b/>
                <w:bCs/>
              </w:rPr>
              <w:t>Site</w:t>
            </w:r>
          </w:p>
        </w:tc>
        <w:tc>
          <w:tcPr>
            <w:tcW w:w="0" w:type="auto"/>
            <w:vAlign w:val="center"/>
            <w:hideMark/>
          </w:tcPr>
          <w:p w14:paraId="4DECD594" w14:textId="77777777" w:rsidR="00127BD9" w:rsidRPr="00127BD9" w:rsidRDefault="00127BD9" w:rsidP="00127BD9">
            <w:pPr>
              <w:rPr>
                <w:b/>
                <w:bCs/>
              </w:rPr>
            </w:pPr>
            <w:r w:rsidRPr="00127BD9">
              <w:rPr>
                <w:b/>
                <w:bCs/>
              </w:rPr>
              <w:t>Outcome</w:t>
            </w:r>
          </w:p>
        </w:tc>
      </w:tr>
      <w:tr w:rsidR="00127BD9" w:rsidRPr="00127BD9" w14:paraId="6FA2610A" w14:textId="77777777" w:rsidTr="00127BD9">
        <w:trPr>
          <w:tblCellSpacing w:w="15" w:type="dxa"/>
        </w:trPr>
        <w:tc>
          <w:tcPr>
            <w:tcW w:w="0" w:type="auto"/>
            <w:vAlign w:val="center"/>
            <w:hideMark/>
          </w:tcPr>
          <w:p w14:paraId="1C5B3CA6" w14:textId="77777777" w:rsidR="00127BD9" w:rsidRPr="00127BD9" w:rsidRDefault="00127BD9" w:rsidP="00127BD9">
            <w:r w:rsidRPr="00127BD9">
              <w:t>Capitol Park</w:t>
            </w:r>
          </w:p>
        </w:tc>
        <w:tc>
          <w:tcPr>
            <w:tcW w:w="0" w:type="auto"/>
            <w:vAlign w:val="center"/>
            <w:hideMark/>
          </w:tcPr>
          <w:p w14:paraId="733266E5" w14:textId="77777777" w:rsidR="00127BD9" w:rsidRPr="00127BD9" w:rsidRDefault="00127BD9" w:rsidP="00127BD9">
            <w:r w:rsidRPr="00127BD9">
              <w:t>Not available for leisure use</w:t>
            </w:r>
          </w:p>
        </w:tc>
      </w:tr>
      <w:tr w:rsidR="00127BD9" w:rsidRPr="00127BD9" w14:paraId="71F72ECB" w14:textId="77777777" w:rsidTr="00127BD9">
        <w:trPr>
          <w:tblCellSpacing w:w="15" w:type="dxa"/>
        </w:trPr>
        <w:tc>
          <w:tcPr>
            <w:tcW w:w="0" w:type="auto"/>
            <w:vAlign w:val="center"/>
            <w:hideMark/>
          </w:tcPr>
          <w:p w14:paraId="4371B498" w14:textId="77777777" w:rsidR="00127BD9" w:rsidRPr="00127BD9" w:rsidRDefault="00127BD9" w:rsidP="00127BD9">
            <w:r w:rsidRPr="00127BD9">
              <w:t>Gateway Plaza</w:t>
            </w:r>
          </w:p>
        </w:tc>
        <w:tc>
          <w:tcPr>
            <w:tcW w:w="0" w:type="auto"/>
            <w:vAlign w:val="center"/>
            <w:hideMark/>
          </w:tcPr>
          <w:p w14:paraId="7C29FDB6" w14:textId="77777777" w:rsidR="00127BD9" w:rsidRPr="00127BD9" w:rsidRDefault="00127BD9" w:rsidP="00127BD9">
            <w:r w:rsidRPr="00127BD9">
              <w:t>Higher rent, not child-friendly access</w:t>
            </w:r>
          </w:p>
        </w:tc>
      </w:tr>
      <w:tr w:rsidR="00127BD9" w:rsidRPr="00127BD9" w14:paraId="6E7BE6A7" w14:textId="77777777" w:rsidTr="00127BD9">
        <w:trPr>
          <w:tblCellSpacing w:w="15" w:type="dxa"/>
        </w:trPr>
        <w:tc>
          <w:tcPr>
            <w:tcW w:w="0" w:type="auto"/>
            <w:vAlign w:val="center"/>
            <w:hideMark/>
          </w:tcPr>
          <w:p w14:paraId="32CB0F5E" w14:textId="77777777" w:rsidR="00127BD9" w:rsidRPr="00127BD9" w:rsidRDefault="00127BD9" w:rsidP="00127BD9">
            <w:r w:rsidRPr="00127BD9">
              <w:t>Former gyms</w:t>
            </w:r>
          </w:p>
        </w:tc>
        <w:tc>
          <w:tcPr>
            <w:tcW w:w="0" w:type="auto"/>
            <w:vAlign w:val="center"/>
            <w:hideMark/>
          </w:tcPr>
          <w:p w14:paraId="33195919" w14:textId="77777777" w:rsidR="00127BD9" w:rsidRPr="00127BD9" w:rsidRDefault="00127BD9" w:rsidP="00127BD9">
            <w:r w:rsidRPr="00127BD9">
              <w:t>Either too large or already re-let</w:t>
            </w:r>
          </w:p>
        </w:tc>
      </w:tr>
    </w:tbl>
    <w:p w14:paraId="224C74F4" w14:textId="77777777" w:rsidR="00127BD9" w:rsidRPr="00127BD9" w:rsidRDefault="00127BD9" w:rsidP="00127BD9">
      <w:r w:rsidRPr="00127BD9">
        <w:pict w14:anchorId="156251F4">
          <v:rect id="_x0000_i1030" style="width:0;height:1.5pt" o:hralign="center" o:hrstd="t" o:hr="t" fillcolor="#a0a0a0" stroked="f"/>
        </w:pict>
      </w:r>
    </w:p>
    <w:p w14:paraId="6A2F77D9" w14:textId="77777777" w:rsidR="00127BD9" w:rsidRPr="00127BD9" w:rsidRDefault="00127BD9" w:rsidP="00127BD9">
      <w:pPr>
        <w:rPr>
          <w:b/>
          <w:bCs/>
        </w:rPr>
      </w:pPr>
      <w:r w:rsidRPr="00127BD9">
        <w:rPr>
          <w:b/>
          <w:bCs/>
        </w:rPr>
        <w:t>6. Application Site</w:t>
      </w:r>
    </w:p>
    <w:p w14:paraId="3A15BD6A" w14:textId="77777777" w:rsidR="00127BD9" w:rsidRPr="00127BD9" w:rsidRDefault="00127BD9" w:rsidP="00127BD9">
      <w:r w:rsidRPr="00127BD9">
        <w:t>The current unit is:</w:t>
      </w:r>
    </w:p>
    <w:p w14:paraId="6F104F77" w14:textId="77777777" w:rsidR="00127BD9" w:rsidRPr="00127BD9" w:rsidRDefault="00127BD9" w:rsidP="00127BD9">
      <w:pPr>
        <w:numPr>
          <w:ilvl w:val="0"/>
          <w:numId w:val="4"/>
        </w:numPr>
      </w:pPr>
      <w:r w:rsidRPr="00127BD9">
        <w:t>2,750 sq. ft. of open-plan ground floor space</w:t>
      </w:r>
    </w:p>
    <w:p w14:paraId="5FC57EC4" w14:textId="77777777" w:rsidR="00127BD9" w:rsidRPr="00127BD9" w:rsidRDefault="00127BD9" w:rsidP="00127BD9">
      <w:pPr>
        <w:numPr>
          <w:ilvl w:val="0"/>
          <w:numId w:val="4"/>
        </w:numPr>
      </w:pPr>
      <w:r w:rsidRPr="00127BD9">
        <w:t>6 allocated parking spaces, with additional overflow observed during proposed hours</w:t>
      </w:r>
    </w:p>
    <w:p w14:paraId="369D0CD4" w14:textId="77777777" w:rsidR="00127BD9" w:rsidRPr="00127BD9" w:rsidRDefault="00127BD9" w:rsidP="00127BD9">
      <w:pPr>
        <w:numPr>
          <w:ilvl w:val="0"/>
          <w:numId w:val="4"/>
        </w:numPr>
      </w:pPr>
      <w:r w:rsidRPr="00127BD9">
        <w:t>Quiet during weekends (peak usage for this business)</w:t>
      </w:r>
    </w:p>
    <w:p w14:paraId="420202DF" w14:textId="77777777" w:rsidR="00127BD9" w:rsidRPr="00127BD9" w:rsidRDefault="00127BD9" w:rsidP="00127BD9">
      <w:pPr>
        <w:numPr>
          <w:ilvl w:val="0"/>
          <w:numId w:val="4"/>
        </w:numPr>
      </w:pPr>
      <w:r w:rsidRPr="00127BD9">
        <w:t>Direct access and adaptable internal layout</w:t>
      </w:r>
    </w:p>
    <w:p w14:paraId="62350764" w14:textId="77777777" w:rsidR="00127BD9" w:rsidRPr="00127BD9" w:rsidRDefault="00127BD9" w:rsidP="00127BD9">
      <w:pPr>
        <w:numPr>
          <w:ilvl w:val="0"/>
          <w:numId w:val="4"/>
        </w:numPr>
      </w:pPr>
      <w:r w:rsidRPr="00127BD9">
        <w:t>Affordable rent to enable community access via the CIC</w:t>
      </w:r>
    </w:p>
    <w:p w14:paraId="27697420" w14:textId="77777777" w:rsidR="00127BD9" w:rsidRPr="00127BD9" w:rsidRDefault="00127BD9" w:rsidP="00127BD9">
      <w:r w:rsidRPr="00127BD9">
        <w:t xml:space="preserve">Andrew Clayton has personally visited the site during intended opening hours to observe traffic and parking </w:t>
      </w:r>
      <w:proofErr w:type="gramStart"/>
      <w:r w:rsidRPr="00127BD9">
        <w:t>conditions, and</w:t>
      </w:r>
      <w:proofErr w:type="gramEnd"/>
      <w:r w:rsidRPr="00127BD9">
        <w:t xml:space="preserve"> believes that suitable space is available for visitor parking during both weekdays and weekends.</w:t>
      </w:r>
    </w:p>
    <w:p w14:paraId="1398BF94" w14:textId="77777777" w:rsidR="00127BD9" w:rsidRPr="00127BD9" w:rsidRDefault="00127BD9" w:rsidP="00127BD9">
      <w:r w:rsidRPr="00127BD9">
        <w:pict w14:anchorId="77EEC977">
          <v:rect id="_x0000_i1031" style="width:0;height:1.5pt" o:hralign="center" o:hrstd="t" o:hr="t" fillcolor="#a0a0a0" stroked="f"/>
        </w:pict>
      </w:r>
    </w:p>
    <w:p w14:paraId="65FA3CF9" w14:textId="77777777" w:rsidR="00127BD9" w:rsidRPr="00127BD9" w:rsidRDefault="00127BD9" w:rsidP="00127BD9">
      <w:pPr>
        <w:rPr>
          <w:b/>
          <w:bCs/>
        </w:rPr>
      </w:pPr>
      <w:r w:rsidRPr="00127BD9">
        <w:rPr>
          <w:b/>
          <w:bCs/>
        </w:rPr>
        <w:t>7. Conclusion</w:t>
      </w:r>
    </w:p>
    <w:p w14:paraId="4C01FCBD" w14:textId="77777777" w:rsidR="00127BD9" w:rsidRPr="00127BD9" w:rsidRDefault="00127BD9" w:rsidP="00127BD9">
      <w:r w:rsidRPr="00127BD9">
        <w:t>The sequential assessment demonstrates that:</w:t>
      </w:r>
    </w:p>
    <w:p w14:paraId="0349C82A" w14:textId="77777777" w:rsidR="00127BD9" w:rsidRPr="00127BD9" w:rsidRDefault="00127BD9" w:rsidP="00127BD9">
      <w:pPr>
        <w:numPr>
          <w:ilvl w:val="0"/>
          <w:numId w:val="5"/>
        </w:numPr>
      </w:pPr>
      <w:r w:rsidRPr="00127BD9">
        <w:t>There are no suitable, available units within the town centre or on its edge.</w:t>
      </w:r>
    </w:p>
    <w:p w14:paraId="40909D25" w14:textId="77777777" w:rsidR="00127BD9" w:rsidRPr="00127BD9" w:rsidRDefault="00127BD9" w:rsidP="00127BD9">
      <w:pPr>
        <w:numPr>
          <w:ilvl w:val="0"/>
          <w:numId w:val="5"/>
        </w:numPr>
      </w:pPr>
      <w:r w:rsidRPr="00127BD9">
        <w:t>The application site is the only identified option that meets spatial, operational, and affordability requirements.</w:t>
      </w:r>
    </w:p>
    <w:p w14:paraId="06E95C87" w14:textId="77777777" w:rsidR="00127BD9" w:rsidRPr="00127BD9" w:rsidRDefault="00127BD9" w:rsidP="00127BD9">
      <w:pPr>
        <w:numPr>
          <w:ilvl w:val="0"/>
          <w:numId w:val="5"/>
        </w:numPr>
      </w:pPr>
      <w:r w:rsidRPr="00127BD9">
        <w:t>The business operates with limited weekday capacity and higher weekend use when neighbouring businesses are not operating.</w:t>
      </w:r>
    </w:p>
    <w:p w14:paraId="418F677B" w14:textId="77777777" w:rsidR="00127BD9" w:rsidRPr="00127BD9" w:rsidRDefault="00127BD9" w:rsidP="00127BD9">
      <w:pPr>
        <w:numPr>
          <w:ilvl w:val="0"/>
          <w:numId w:val="5"/>
        </w:numPr>
      </w:pPr>
      <w:r w:rsidRPr="00127BD9">
        <w:lastRenderedPageBreak/>
        <w:t xml:space="preserve">The linked work with </w:t>
      </w:r>
      <w:r w:rsidRPr="00127BD9">
        <w:rPr>
          <w:i/>
          <w:iCs/>
        </w:rPr>
        <w:t>Fostering Imagination CIC</w:t>
      </w:r>
      <w:r w:rsidRPr="00127BD9">
        <w:t xml:space="preserve"> delivers additional public benefit and social value to vulnerable children and families.</w:t>
      </w:r>
    </w:p>
    <w:p w14:paraId="3581BB9E" w14:textId="77777777" w:rsidR="00127BD9" w:rsidRPr="00127BD9" w:rsidRDefault="00127BD9" w:rsidP="00127BD9">
      <w:r w:rsidRPr="00127BD9">
        <w:t>Given the clear lack of preferable alternatives and the limited impact on existing employment land, the proposal aligns with the aims of the sequential test, and we request it be considered on these grounds.</w:t>
      </w:r>
    </w:p>
    <w:p w14:paraId="4D075F62" w14:textId="00A1A0C7" w:rsidR="00127BD9" w:rsidRPr="00127BD9" w:rsidRDefault="00127BD9" w:rsidP="00127BD9">
      <w:r w:rsidRPr="00127BD9">
        <w:t>Kind regards,</w:t>
      </w:r>
      <w:r w:rsidRPr="00127BD9">
        <w:br/>
      </w:r>
      <w:r w:rsidRPr="00127BD9">
        <w:rPr>
          <w:b/>
          <w:bCs/>
        </w:rPr>
        <w:t>Andrew Clayton</w:t>
      </w:r>
    </w:p>
    <w:p w14:paraId="704EEAFC" w14:textId="77777777" w:rsidR="00043921" w:rsidRDefault="00043921"/>
    <w:sectPr w:rsidR="00043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4D4"/>
    <w:multiLevelType w:val="multilevel"/>
    <w:tmpl w:val="0844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96641"/>
    <w:multiLevelType w:val="multilevel"/>
    <w:tmpl w:val="472CD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67B1"/>
    <w:multiLevelType w:val="multilevel"/>
    <w:tmpl w:val="90A0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1476D"/>
    <w:multiLevelType w:val="multilevel"/>
    <w:tmpl w:val="A93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504E3"/>
    <w:multiLevelType w:val="multilevel"/>
    <w:tmpl w:val="5368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244980">
    <w:abstractNumId w:val="3"/>
  </w:num>
  <w:num w:numId="2" w16cid:durableId="873229693">
    <w:abstractNumId w:val="2"/>
  </w:num>
  <w:num w:numId="3" w16cid:durableId="158738094">
    <w:abstractNumId w:val="1"/>
  </w:num>
  <w:num w:numId="4" w16cid:durableId="1191913089">
    <w:abstractNumId w:val="0"/>
  </w:num>
  <w:num w:numId="5" w16cid:durableId="1339456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D9"/>
    <w:rsid w:val="00043921"/>
    <w:rsid w:val="00127BD9"/>
    <w:rsid w:val="006D275F"/>
    <w:rsid w:val="0072007F"/>
    <w:rsid w:val="00E35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3E1D"/>
  <w15:chartTrackingRefBased/>
  <w15:docId w15:val="{23D87B0F-4285-40F8-BA4A-5C068650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BD9"/>
    <w:rPr>
      <w:rFonts w:eastAsiaTheme="majorEastAsia" w:cstheme="majorBidi"/>
      <w:color w:val="272727" w:themeColor="text1" w:themeTint="D8"/>
    </w:rPr>
  </w:style>
  <w:style w:type="paragraph" w:styleId="Title">
    <w:name w:val="Title"/>
    <w:basedOn w:val="Normal"/>
    <w:next w:val="Normal"/>
    <w:link w:val="TitleChar"/>
    <w:uiPriority w:val="10"/>
    <w:qFormat/>
    <w:rsid w:val="00127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BD9"/>
    <w:pPr>
      <w:spacing w:before="160"/>
      <w:jc w:val="center"/>
    </w:pPr>
    <w:rPr>
      <w:i/>
      <w:iCs/>
      <w:color w:val="404040" w:themeColor="text1" w:themeTint="BF"/>
    </w:rPr>
  </w:style>
  <w:style w:type="character" w:customStyle="1" w:styleId="QuoteChar">
    <w:name w:val="Quote Char"/>
    <w:basedOn w:val="DefaultParagraphFont"/>
    <w:link w:val="Quote"/>
    <w:uiPriority w:val="29"/>
    <w:rsid w:val="00127BD9"/>
    <w:rPr>
      <w:i/>
      <w:iCs/>
      <w:color w:val="404040" w:themeColor="text1" w:themeTint="BF"/>
    </w:rPr>
  </w:style>
  <w:style w:type="paragraph" w:styleId="ListParagraph">
    <w:name w:val="List Paragraph"/>
    <w:basedOn w:val="Normal"/>
    <w:uiPriority w:val="34"/>
    <w:qFormat/>
    <w:rsid w:val="00127BD9"/>
    <w:pPr>
      <w:ind w:left="720"/>
      <w:contextualSpacing/>
    </w:pPr>
  </w:style>
  <w:style w:type="character" w:styleId="IntenseEmphasis">
    <w:name w:val="Intense Emphasis"/>
    <w:basedOn w:val="DefaultParagraphFont"/>
    <w:uiPriority w:val="21"/>
    <w:qFormat/>
    <w:rsid w:val="00127BD9"/>
    <w:rPr>
      <w:i/>
      <w:iCs/>
      <w:color w:val="0F4761" w:themeColor="accent1" w:themeShade="BF"/>
    </w:rPr>
  </w:style>
  <w:style w:type="paragraph" w:styleId="IntenseQuote">
    <w:name w:val="Intense Quote"/>
    <w:basedOn w:val="Normal"/>
    <w:next w:val="Normal"/>
    <w:link w:val="IntenseQuoteChar"/>
    <w:uiPriority w:val="30"/>
    <w:qFormat/>
    <w:rsid w:val="00127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BD9"/>
    <w:rPr>
      <w:i/>
      <w:iCs/>
      <w:color w:val="0F4761" w:themeColor="accent1" w:themeShade="BF"/>
    </w:rPr>
  </w:style>
  <w:style w:type="character" w:styleId="IntenseReference">
    <w:name w:val="Intense Reference"/>
    <w:basedOn w:val="DefaultParagraphFont"/>
    <w:uiPriority w:val="32"/>
    <w:qFormat/>
    <w:rsid w:val="00127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3039">
      <w:bodyDiv w:val="1"/>
      <w:marLeft w:val="0"/>
      <w:marRight w:val="0"/>
      <w:marTop w:val="0"/>
      <w:marBottom w:val="0"/>
      <w:divBdr>
        <w:top w:val="none" w:sz="0" w:space="0" w:color="auto"/>
        <w:left w:val="none" w:sz="0" w:space="0" w:color="auto"/>
        <w:bottom w:val="none" w:sz="0" w:space="0" w:color="auto"/>
        <w:right w:val="none" w:sz="0" w:space="0" w:color="auto"/>
      </w:divBdr>
      <w:divsChild>
        <w:div w:id="675815272">
          <w:marLeft w:val="0"/>
          <w:marRight w:val="0"/>
          <w:marTop w:val="0"/>
          <w:marBottom w:val="0"/>
          <w:divBdr>
            <w:top w:val="none" w:sz="0" w:space="0" w:color="auto"/>
            <w:left w:val="none" w:sz="0" w:space="0" w:color="auto"/>
            <w:bottom w:val="none" w:sz="0" w:space="0" w:color="auto"/>
            <w:right w:val="none" w:sz="0" w:space="0" w:color="auto"/>
          </w:divBdr>
          <w:divsChild>
            <w:div w:id="2032685977">
              <w:marLeft w:val="0"/>
              <w:marRight w:val="0"/>
              <w:marTop w:val="0"/>
              <w:marBottom w:val="0"/>
              <w:divBdr>
                <w:top w:val="none" w:sz="0" w:space="0" w:color="auto"/>
                <w:left w:val="none" w:sz="0" w:space="0" w:color="auto"/>
                <w:bottom w:val="none" w:sz="0" w:space="0" w:color="auto"/>
                <w:right w:val="none" w:sz="0" w:space="0" w:color="auto"/>
              </w:divBdr>
            </w:div>
          </w:divsChild>
        </w:div>
        <w:div w:id="452097117">
          <w:marLeft w:val="0"/>
          <w:marRight w:val="0"/>
          <w:marTop w:val="0"/>
          <w:marBottom w:val="0"/>
          <w:divBdr>
            <w:top w:val="none" w:sz="0" w:space="0" w:color="auto"/>
            <w:left w:val="none" w:sz="0" w:space="0" w:color="auto"/>
            <w:bottom w:val="none" w:sz="0" w:space="0" w:color="auto"/>
            <w:right w:val="none" w:sz="0" w:space="0" w:color="auto"/>
          </w:divBdr>
          <w:divsChild>
            <w:div w:id="1976257942">
              <w:marLeft w:val="0"/>
              <w:marRight w:val="0"/>
              <w:marTop w:val="0"/>
              <w:marBottom w:val="0"/>
              <w:divBdr>
                <w:top w:val="none" w:sz="0" w:space="0" w:color="auto"/>
                <w:left w:val="none" w:sz="0" w:space="0" w:color="auto"/>
                <w:bottom w:val="none" w:sz="0" w:space="0" w:color="auto"/>
                <w:right w:val="none" w:sz="0" w:space="0" w:color="auto"/>
              </w:divBdr>
            </w:div>
          </w:divsChild>
        </w:div>
        <w:div w:id="1779179056">
          <w:marLeft w:val="0"/>
          <w:marRight w:val="0"/>
          <w:marTop w:val="0"/>
          <w:marBottom w:val="0"/>
          <w:divBdr>
            <w:top w:val="none" w:sz="0" w:space="0" w:color="auto"/>
            <w:left w:val="none" w:sz="0" w:space="0" w:color="auto"/>
            <w:bottom w:val="none" w:sz="0" w:space="0" w:color="auto"/>
            <w:right w:val="none" w:sz="0" w:space="0" w:color="auto"/>
          </w:divBdr>
          <w:divsChild>
            <w:div w:id="32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9C3B1635-5C97-4DED-9188-0B59F351D5D0}"/>
</file>

<file path=customXml/itemProps2.xml><?xml version="1.0" encoding="utf-8"?>
<ds:datastoreItem xmlns:ds="http://schemas.openxmlformats.org/officeDocument/2006/customXml" ds:itemID="{A4D7C7F7-B765-408C-8010-3AAAF73A5A25}"/>
</file>

<file path=customXml/itemProps3.xml><?xml version="1.0" encoding="utf-8"?>
<ds:datastoreItem xmlns:ds="http://schemas.openxmlformats.org/officeDocument/2006/customXml" ds:itemID="{8BAA50F2-656E-4C49-89D5-B3A9BF4CF317}"/>
</file>

<file path=docProps/app.xml><?xml version="1.0" encoding="utf-8"?>
<Properties xmlns="http://schemas.openxmlformats.org/officeDocument/2006/extended-properties" xmlns:vt="http://schemas.openxmlformats.org/officeDocument/2006/docPropsVTypes">
  <Template>Normal</Template>
  <TotalTime>7127</TotalTime>
  <Pages>4</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Fostering imagination</dc:creator>
  <cp:keywords/>
  <dc:description/>
  <cp:lastModifiedBy>Fostering imagination</cp:lastModifiedBy>
  <cp:revision>2</cp:revision>
  <dcterms:created xsi:type="dcterms:W3CDTF">2025-07-24T11:03:00Z</dcterms:created>
  <dcterms:modified xsi:type="dcterms:W3CDTF">2025-07-29T10:12:00Z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